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707" w:type="dxa"/>
        <w:jc w:val="center"/>
        <w:tblLayout w:type="fixed"/>
        <w:tblCellMar>
          <w:top w:w="0" w:type="dxa"/>
          <w:left w:w="108" w:type="dxa"/>
          <w:bottom w:w="0" w:type="dxa"/>
          <w:right w:w="108" w:type="dxa"/>
        </w:tblCellMar>
      </w:tblPr>
      <w:tblGrid>
        <w:gridCol w:w="9707"/>
      </w:tblGrid>
      <w:tr>
        <w:tblPrEx>
          <w:tblCellMar>
            <w:top w:w="0" w:type="dxa"/>
            <w:left w:w="108" w:type="dxa"/>
            <w:bottom w:w="0" w:type="dxa"/>
            <w:right w:w="108" w:type="dxa"/>
          </w:tblCellMar>
        </w:tblPrEx>
        <w:trPr>
          <w:trHeight w:val="2880" w:hRule="atLeast"/>
          <w:jc w:val="center"/>
        </w:trPr>
        <w:tc>
          <w:tcPr>
            <w:tcW w:w="9707" w:type="dxa"/>
          </w:tcPr>
          <w:p>
            <w:pPr>
              <w:pStyle w:val="20"/>
              <w:ind w:firstLine="440" w:firstLineChars="200"/>
              <w:jc w:val="center"/>
              <w:rPr>
                <w:rFonts w:asciiTheme="majorHAnsi" w:hAnsiTheme="majorHAnsi" w:eastAsiaTheme="majorEastAsia" w:cstheme="majorBidi"/>
                <w:caps/>
              </w:rPr>
            </w:pPr>
          </w:p>
        </w:tc>
      </w:tr>
      <w:tr>
        <w:tblPrEx>
          <w:tblCellMar>
            <w:top w:w="0" w:type="dxa"/>
            <w:left w:w="108" w:type="dxa"/>
            <w:bottom w:w="0" w:type="dxa"/>
            <w:right w:w="108" w:type="dxa"/>
          </w:tblCellMar>
        </w:tblPrEx>
        <w:trPr>
          <w:trHeight w:val="4917" w:hRule="atLeast"/>
          <w:jc w:val="center"/>
        </w:trPr>
        <w:sdt>
          <w:sdtPr>
            <w:rPr>
              <w:rFonts w:hint="eastAsia" w:ascii="华文中宋" w:hAnsi="华文中宋" w:eastAsia="华文中宋" w:cstheme="majorBidi"/>
              <w:sz w:val="72"/>
              <w:szCs w:val="72"/>
            </w:rPr>
            <w:alias w:val="标题"/>
            <w:id w:val="15524250"/>
            <w:dataBinding w:prefixMappings="xmlns:ns0='http://schemas.openxmlformats.org/package/2006/metadata/core-properties' xmlns:ns1='http://purl.org/dc/elements/1.1/'" w:xpath="/ns0:coreProperties[1]/ns1:title[1]" w:storeItemID="{6C3C8BC8-F283-45AE-878A-BAB7291924A1}"/>
            <w:text/>
          </w:sdtPr>
          <w:sdtEndPr>
            <w:rPr>
              <w:rFonts w:hint="eastAsia" w:ascii="华文中宋" w:hAnsi="华文中宋" w:eastAsia="华文中宋" w:cstheme="majorBidi"/>
              <w:sz w:val="72"/>
              <w:szCs w:val="72"/>
            </w:rPr>
          </w:sdtEndPr>
          <w:sdtContent>
            <w:tc>
              <w:tcPr>
                <w:tcW w:w="9707" w:type="dxa"/>
                <w:tcBorders>
                  <w:bottom w:val="single" w:color="4F81BD" w:themeColor="accent1" w:sz="4" w:space="0"/>
                </w:tcBorders>
                <w:vAlign w:val="center"/>
              </w:tcPr>
              <w:p>
                <w:pPr>
                  <w:pStyle w:val="20"/>
                  <w:jc w:val="center"/>
                  <w:rPr>
                    <w:rFonts w:ascii="华文中宋" w:hAnsi="华文中宋" w:eastAsia="华文中宋" w:cstheme="majorBidi"/>
                    <w:sz w:val="96"/>
                    <w:szCs w:val="96"/>
                  </w:rPr>
                </w:pPr>
                <w:r>
                  <w:rPr>
                    <w:rFonts w:hint="eastAsia" w:ascii="华文中宋" w:hAnsi="华文中宋" w:eastAsia="华文中宋" w:cstheme="majorBidi"/>
                    <w:sz w:val="72"/>
                    <w:szCs w:val="72"/>
                    <w:lang w:eastAsia="zh-CN"/>
                  </w:rPr>
                  <w:t>北京天地文化发展基金会管理制度汇编</w:t>
                </w:r>
              </w:p>
            </w:tc>
          </w:sdtContent>
        </w:sdt>
      </w:tr>
    </w:tbl>
    <w:p>
      <w:pPr>
        <w:jc w:val="center"/>
        <w:rPr>
          <w:rFonts w:ascii="华文仿宋" w:hAnsi="华文仿宋" w:eastAsia="华文仿宋"/>
          <w:b/>
          <w:sz w:val="36"/>
          <w:szCs w:val="36"/>
        </w:rPr>
      </w:pPr>
      <w:r>
        <w:rPr>
          <w:rFonts w:hint="eastAsia" w:ascii="华文仿宋" w:hAnsi="华文仿宋" w:eastAsia="华文仿宋"/>
          <w:b/>
          <w:sz w:val="36"/>
          <w:szCs w:val="36"/>
        </w:rPr>
        <w:t>（第一版）</w:t>
      </w:r>
    </w:p>
    <w:p>
      <w:pPr>
        <w:ind w:firstLine="420" w:firstLineChars="200"/>
      </w:pPr>
    </w:p>
    <w:tbl>
      <w:tblPr>
        <w:tblStyle w:val="9"/>
        <w:tblpPr w:leftFromText="187" w:rightFromText="187" w:horzAnchor="margin" w:tblpXSpec="center" w:tblpYSpec="bottom"/>
        <w:tblW w:w="8522" w:type="dxa"/>
        <w:tblInd w:w="0" w:type="dxa"/>
        <w:tblLayout w:type="fixed"/>
        <w:tblCellMar>
          <w:top w:w="0" w:type="dxa"/>
          <w:left w:w="108" w:type="dxa"/>
          <w:bottom w:w="0" w:type="dxa"/>
          <w:right w:w="108" w:type="dxa"/>
        </w:tblCellMar>
      </w:tblPr>
      <w:tblGrid>
        <w:gridCol w:w="8522"/>
      </w:tblGrid>
      <w:tr>
        <w:tblPrEx>
          <w:tblCellMar>
            <w:top w:w="0" w:type="dxa"/>
            <w:left w:w="108" w:type="dxa"/>
            <w:bottom w:w="0" w:type="dxa"/>
            <w:right w:w="108" w:type="dxa"/>
          </w:tblCellMar>
        </w:tblPrEx>
        <w:tc>
          <w:tcPr>
            <w:tcW w:w="8522" w:type="dxa"/>
          </w:tcPr>
          <w:p>
            <w:pPr>
              <w:pStyle w:val="20"/>
              <w:ind w:firstLine="440" w:firstLineChars="200"/>
            </w:pPr>
          </w:p>
        </w:tc>
      </w:tr>
    </w:tbl>
    <w:p>
      <w:pPr>
        <w:ind w:firstLine="420" w:firstLineChars="200"/>
        <w:jc w:val="center"/>
      </w:pPr>
    </w:p>
    <w:p>
      <w:pPr>
        <w:widowControl/>
        <w:ind w:firstLine="1044" w:firstLineChars="200"/>
        <w:jc w:val="left"/>
        <w:rPr>
          <w:rFonts w:ascii="黑体" w:hAnsi="黑体" w:eastAsia="黑体"/>
          <w:b/>
          <w:sz w:val="52"/>
          <w:szCs w:val="52"/>
        </w:rPr>
      </w:pPr>
      <w:r>
        <w:rPr>
          <w:rFonts w:ascii="黑体" w:hAnsi="黑体" w:eastAsia="黑体"/>
          <w:b/>
          <w:sz w:val="52"/>
          <w:szCs w:val="52"/>
        </w:rPr>
        <w:br w:type="page"/>
      </w:r>
    </w:p>
    <w:p>
      <w:pPr>
        <w:jc w:val="center"/>
        <w:rPr>
          <w:rFonts w:ascii="黑体" w:hAnsi="黑体" w:eastAsia="黑体"/>
          <w:b/>
          <w:sz w:val="15"/>
          <w:szCs w:val="15"/>
        </w:rPr>
      </w:pPr>
    </w:p>
    <w:p>
      <w:pPr>
        <w:jc w:val="center"/>
        <w:rPr>
          <w:rFonts w:ascii="黑体" w:hAnsi="黑体" w:eastAsia="黑体"/>
          <w:b/>
          <w:sz w:val="52"/>
          <w:szCs w:val="52"/>
        </w:rPr>
      </w:pPr>
      <w:r>
        <w:rPr>
          <w:rFonts w:hint="eastAsia" w:ascii="黑体" w:hAnsi="黑体" w:eastAsia="黑体"/>
          <w:b/>
          <w:sz w:val="52"/>
          <w:szCs w:val="52"/>
        </w:rPr>
        <w:t>前  言</w:t>
      </w:r>
    </w:p>
    <w:p>
      <w:pPr>
        <w:spacing w:after="156" w:afterLines="50" w:line="360" w:lineRule="auto"/>
        <w:ind w:firstLine="480" w:firstLineChars="200"/>
        <w:rPr>
          <w:sz w:val="24"/>
          <w:szCs w:val="24"/>
        </w:rPr>
      </w:pPr>
    </w:p>
    <w:p>
      <w:pPr>
        <w:spacing w:after="156" w:afterLines="50" w:line="360" w:lineRule="auto"/>
        <w:ind w:firstLine="480" w:firstLineChars="200"/>
        <w:rPr>
          <w:sz w:val="24"/>
          <w:szCs w:val="24"/>
        </w:rPr>
      </w:pPr>
      <w:r>
        <w:rPr>
          <w:rFonts w:hint="eastAsia"/>
          <w:sz w:val="24"/>
          <w:szCs w:val="24"/>
        </w:rPr>
        <w:t>北京</w:t>
      </w:r>
      <w:r>
        <w:rPr>
          <w:rFonts w:hint="eastAsia"/>
          <w:sz w:val="24"/>
          <w:szCs w:val="24"/>
          <w:lang w:val="en-US" w:eastAsia="zh-CN"/>
        </w:rPr>
        <w:t>天地文化发展</w:t>
      </w:r>
      <w:r>
        <w:rPr>
          <w:rFonts w:hint="eastAsia"/>
          <w:sz w:val="24"/>
          <w:szCs w:val="24"/>
        </w:rPr>
        <w:t>基金会自成立之日起就将管理的规范化、专业化列为重要管理原则，严格遵守《中华人民共和国慈善法》、《基金会管理条例》及基金会章程规定，根据基金会运转与发展的需要，不断建立健全基金会各项规章制度。</w:t>
      </w:r>
    </w:p>
    <w:p>
      <w:pPr>
        <w:spacing w:after="156" w:afterLines="50" w:line="360" w:lineRule="auto"/>
        <w:ind w:firstLine="480" w:firstLineChars="200"/>
        <w:rPr>
          <w:sz w:val="24"/>
          <w:szCs w:val="24"/>
        </w:rPr>
      </w:pPr>
      <w:r>
        <w:rPr>
          <w:rFonts w:hint="eastAsia"/>
          <w:sz w:val="24"/>
          <w:szCs w:val="24"/>
        </w:rPr>
        <w:t>基金会第一届理事会议将基金会制度建设列为201</w:t>
      </w:r>
      <w:r>
        <w:rPr>
          <w:rFonts w:hint="eastAsia"/>
          <w:sz w:val="24"/>
          <w:szCs w:val="24"/>
          <w:lang w:val="en-US" w:eastAsia="zh-CN"/>
        </w:rPr>
        <w:t>7</w:t>
      </w:r>
      <w:r>
        <w:rPr>
          <w:rFonts w:hint="eastAsia"/>
          <w:sz w:val="24"/>
          <w:szCs w:val="24"/>
        </w:rPr>
        <w:t>年重点工作，基金会秘书处全面开展制度建设，已经建立起包括项目管理制度、行政综合制度、人力资源管理制度、财务管理制度和志愿者管理制度五大类。为全面呈现基金会管理制度内容，完成《</w:t>
      </w:r>
      <w:r>
        <w:rPr>
          <w:rFonts w:hint="eastAsia"/>
          <w:sz w:val="24"/>
          <w:szCs w:val="24"/>
          <w:lang w:eastAsia="zh-CN"/>
        </w:rPr>
        <w:t>北京天地文化发展</w:t>
      </w:r>
      <w:r>
        <w:rPr>
          <w:rFonts w:hint="eastAsia"/>
          <w:sz w:val="24"/>
          <w:szCs w:val="24"/>
        </w:rPr>
        <w:t>基金会管理制度汇编（第一版）》。</w:t>
      </w:r>
    </w:p>
    <w:p>
      <w:pPr>
        <w:spacing w:after="156" w:afterLines="50" w:line="360" w:lineRule="auto"/>
        <w:ind w:firstLine="480" w:firstLineChars="200"/>
        <w:rPr>
          <w:sz w:val="24"/>
          <w:szCs w:val="24"/>
        </w:rPr>
      </w:pPr>
    </w:p>
    <w:p>
      <w:pPr>
        <w:spacing w:after="156" w:afterLines="50" w:line="360" w:lineRule="auto"/>
        <w:ind w:firstLine="480" w:firstLineChars="200"/>
        <w:rPr>
          <w:sz w:val="24"/>
          <w:szCs w:val="24"/>
        </w:rPr>
      </w:pPr>
    </w:p>
    <w:p>
      <w:pPr>
        <w:spacing w:after="156" w:afterLines="50" w:line="360" w:lineRule="auto"/>
        <w:ind w:firstLine="480" w:firstLineChars="200"/>
        <w:rPr>
          <w:sz w:val="24"/>
          <w:szCs w:val="24"/>
        </w:rPr>
      </w:pPr>
    </w:p>
    <w:p>
      <w:pPr>
        <w:spacing w:after="156" w:afterLines="50" w:line="360" w:lineRule="auto"/>
        <w:ind w:firstLine="480" w:firstLineChars="200"/>
        <w:rPr>
          <w:sz w:val="24"/>
          <w:szCs w:val="24"/>
        </w:rPr>
      </w:pPr>
    </w:p>
    <w:p>
      <w:pPr>
        <w:spacing w:after="156" w:afterLines="50" w:line="360" w:lineRule="auto"/>
        <w:ind w:firstLine="480" w:firstLineChars="200"/>
        <w:rPr>
          <w:sz w:val="24"/>
          <w:szCs w:val="24"/>
        </w:rPr>
      </w:pPr>
    </w:p>
    <w:p>
      <w:pPr>
        <w:spacing w:line="360" w:lineRule="auto"/>
        <w:ind w:firstLine="480" w:firstLineChars="200"/>
        <w:jc w:val="right"/>
        <w:rPr>
          <w:sz w:val="24"/>
          <w:szCs w:val="24"/>
        </w:rPr>
      </w:pPr>
      <w:r>
        <w:rPr>
          <w:rFonts w:hint="eastAsia"/>
          <w:sz w:val="24"/>
          <w:szCs w:val="24"/>
          <w:lang w:eastAsia="zh-CN"/>
        </w:rPr>
        <w:t>北京天地文化发展</w:t>
      </w:r>
      <w:r>
        <w:rPr>
          <w:rFonts w:hint="eastAsia"/>
          <w:sz w:val="24"/>
          <w:szCs w:val="24"/>
        </w:rPr>
        <w:t>基金会</w:t>
      </w:r>
    </w:p>
    <w:p>
      <w:pPr>
        <w:spacing w:line="360" w:lineRule="auto"/>
        <w:ind w:firstLine="480" w:firstLineChars="200"/>
        <w:jc w:val="right"/>
        <w:rPr>
          <w:sz w:val="24"/>
          <w:szCs w:val="24"/>
        </w:rPr>
      </w:pPr>
      <w:r>
        <w:rPr>
          <w:rFonts w:hint="eastAsia"/>
          <w:sz w:val="24"/>
          <w:szCs w:val="24"/>
        </w:rPr>
        <w:t>201</w:t>
      </w:r>
      <w:r>
        <w:rPr>
          <w:rFonts w:hint="eastAsia"/>
          <w:sz w:val="24"/>
          <w:szCs w:val="24"/>
          <w:lang w:val="en-US" w:eastAsia="zh-CN"/>
        </w:rPr>
        <w:t>7</w:t>
      </w:r>
      <w:r>
        <w:rPr>
          <w:rFonts w:hint="eastAsia"/>
          <w:sz w:val="24"/>
          <w:szCs w:val="24"/>
        </w:rPr>
        <w:t>年8月</w:t>
      </w: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sdt>
      <w:sdtPr>
        <w:rPr>
          <w:rFonts w:asciiTheme="minorHAnsi" w:hAnsiTheme="minorHAnsi" w:eastAsiaTheme="minorEastAsia" w:cstheme="minorBidi"/>
          <w:b w:val="0"/>
          <w:bCs w:val="0"/>
          <w:color w:val="auto"/>
          <w:kern w:val="2"/>
          <w:sz w:val="21"/>
          <w:szCs w:val="22"/>
          <w:lang w:val="zh-CN"/>
        </w:rPr>
        <w:id w:val="780916370"/>
        <w:docPartObj>
          <w:docPartGallery w:val="Table of Contents"/>
          <w:docPartUnique/>
        </w:docPartObj>
      </w:sdtPr>
      <w:sdtEndPr>
        <w:rPr>
          <w:rFonts w:ascii="黑体" w:hAnsi="黑体" w:eastAsia="黑体" w:cstheme="minorBidi"/>
          <w:b w:val="0"/>
          <w:bCs w:val="0"/>
          <w:color w:val="auto"/>
          <w:kern w:val="2"/>
          <w:sz w:val="21"/>
          <w:szCs w:val="22"/>
          <w:lang w:val="zh-CN"/>
        </w:rPr>
      </w:sdtEndPr>
      <w:sdtContent>
        <w:p>
          <w:pPr>
            <w:pStyle w:val="19"/>
            <w:spacing w:before="0"/>
            <w:jc w:val="center"/>
            <w:rPr>
              <w:rFonts w:asciiTheme="minorHAnsi" w:hAnsiTheme="minorHAnsi" w:eastAsiaTheme="minorEastAsia" w:cstheme="minorBidi"/>
              <w:b w:val="0"/>
              <w:bCs w:val="0"/>
              <w:color w:val="auto"/>
              <w:kern w:val="2"/>
              <w:sz w:val="21"/>
              <w:szCs w:val="22"/>
              <w:lang w:val="zh-CN"/>
            </w:rPr>
          </w:pPr>
        </w:p>
        <w:p>
          <w:pPr>
            <w:rPr>
              <w:lang w:val="zh-CN"/>
            </w:rPr>
          </w:pPr>
        </w:p>
        <w:p>
          <w:pPr>
            <w:rPr>
              <w:lang w:val="zh-CN"/>
            </w:rPr>
          </w:pPr>
        </w:p>
        <w:p>
          <w:pPr>
            <w:rPr>
              <w:lang w:val="zh-CN"/>
            </w:rPr>
          </w:pPr>
        </w:p>
        <w:p>
          <w:pPr>
            <w:rPr>
              <w:lang w:val="zh-CN"/>
            </w:rPr>
          </w:pPr>
        </w:p>
        <w:p>
          <w:pPr>
            <w:rPr>
              <w:lang w:val="zh-CN"/>
            </w:rPr>
          </w:pPr>
        </w:p>
        <w:p>
          <w:pPr>
            <w:pStyle w:val="19"/>
            <w:spacing w:before="0"/>
            <w:jc w:val="center"/>
            <w:rPr>
              <w:rFonts w:asciiTheme="minorHAnsi" w:hAnsiTheme="minorHAnsi" w:eastAsiaTheme="minorEastAsia" w:cstheme="minorBidi"/>
              <w:b w:val="0"/>
              <w:bCs w:val="0"/>
              <w:color w:val="auto"/>
              <w:kern w:val="2"/>
              <w:sz w:val="44"/>
              <w:szCs w:val="44"/>
              <w:lang w:val="zh-CN"/>
            </w:rPr>
          </w:pPr>
          <w:r>
            <w:rPr>
              <w:rFonts w:ascii="黑体" w:hAnsi="黑体" w:eastAsia="黑体"/>
              <w:color w:val="auto"/>
              <w:sz w:val="44"/>
              <w:szCs w:val="44"/>
              <w:lang w:val="zh-CN"/>
            </w:rPr>
            <w:t>目</w:t>
          </w:r>
          <w:r>
            <w:rPr>
              <w:rFonts w:hint="eastAsia" w:ascii="黑体" w:hAnsi="黑体" w:eastAsia="黑体"/>
              <w:color w:val="auto"/>
              <w:sz w:val="44"/>
              <w:szCs w:val="44"/>
              <w:lang w:val="zh-CN"/>
            </w:rPr>
            <w:t xml:space="preserve"> </w:t>
          </w:r>
          <w:r>
            <w:rPr>
              <w:rFonts w:ascii="黑体" w:hAnsi="黑体" w:eastAsia="黑体"/>
              <w:color w:val="auto"/>
              <w:sz w:val="44"/>
              <w:szCs w:val="44"/>
              <w:lang w:val="zh-CN"/>
            </w:rPr>
            <w:t>录</w:t>
          </w:r>
        </w:p>
        <w:p>
          <w:pPr>
            <w:pStyle w:val="7"/>
          </w:pPr>
        </w:p>
        <w:p>
          <w:pPr>
            <w:pStyle w:val="7"/>
            <w:tabs>
              <w:tab w:val="right" w:leader="dot" w:pos="8405"/>
              <w:tab w:val="clear" w:pos="8296"/>
            </w:tabs>
          </w:pPr>
          <w:r>
            <w:fldChar w:fldCharType="begin"/>
          </w:r>
          <w:r>
            <w:instrText xml:space="preserve"> TOC \o "1-3" \h \z \u </w:instrText>
          </w:r>
          <w:r>
            <w:fldChar w:fldCharType="separate"/>
          </w:r>
          <w:r>
            <w:fldChar w:fldCharType="begin"/>
          </w:r>
          <w:r>
            <w:instrText xml:space="preserve"> HYPERLINK \l _Toc24925 </w:instrText>
          </w:r>
          <w:r>
            <w:fldChar w:fldCharType="separate"/>
          </w:r>
          <w:r>
            <w:rPr>
              <w:rFonts w:hint="eastAsia" w:ascii="黑体" w:hAnsi="黑体" w:eastAsia="黑体"/>
              <w:szCs w:val="32"/>
            </w:rPr>
            <w:t xml:space="preserve">一 </w:t>
          </w:r>
          <w:r>
            <w:rPr>
              <w:rFonts w:hint="eastAsia"/>
              <w:szCs w:val="32"/>
              <w:lang w:eastAsia="zh-CN"/>
            </w:rPr>
            <w:t>北京天地文化发展</w:t>
          </w:r>
          <w:r>
            <w:rPr>
              <w:rFonts w:hint="eastAsia" w:ascii="黑体" w:hAnsi="黑体" w:eastAsia="黑体"/>
              <w:szCs w:val="32"/>
            </w:rPr>
            <w:t>基金会项目管理制度</w:t>
          </w:r>
          <w:r>
            <w:tab/>
          </w:r>
          <w:r>
            <w:fldChar w:fldCharType="begin"/>
          </w:r>
          <w:r>
            <w:instrText xml:space="preserve"> PAGEREF _Toc24925 \h </w:instrText>
          </w:r>
          <w:r>
            <w:fldChar w:fldCharType="separate"/>
          </w:r>
          <w:r>
            <w:t>4</w:t>
          </w:r>
          <w:r>
            <w:fldChar w:fldCharType="end"/>
          </w:r>
          <w: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_Toc28613 </w:instrText>
          </w:r>
          <w:r>
            <w:rPr>
              <w:rFonts w:ascii="黑体" w:hAnsi="黑体" w:eastAsia="黑体"/>
              <w:bCs/>
              <w:szCs w:val="21"/>
              <w:lang w:val="zh-CN"/>
            </w:rPr>
            <w:fldChar w:fldCharType="separate"/>
          </w:r>
          <w:r>
            <w:rPr>
              <w:rFonts w:hint="eastAsia" w:ascii="黑体" w:hAnsi="黑体" w:eastAsia="黑体"/>
              <w:szCs w:val="32"/>
            </w:rPr>
            <w:t xml:space="preserve">二 </w:t>
          </w:r>
          <w:r>
            <w:rPr>
              <w:rFonts w:hint="eastAsia"/>
              <w:szCs w:val="32"/>
              <w:lang w:eastAsia="zh-CN"/>
            </w:rPr>
            <w:t>北京天地文化发展</w:t>
          </w:r>
          <w:r>
            <w:rPr>
              <w:rFonts w:hint="eastAsia" w:ascii="黑体" w:hAnsi="黑体" w:eastAsia="黑体"/>
              <w:szCs w:val="32"/>
            </w:rPr>
            <w:t>基金会行政管理制度</w:t>
          </w:r>
          <w:r>
            <w:tab/>
          </w:r>
          <w:r>
            <w:fldChar w:fldCharType="begin"/>
          </w:r>
          <w:r>
            <w:instrText xml:space="preserve"> PAGEREF _Toc28613 \h </w:instrText>
          </w:r>
          <w:r>
            <w:fldChar w:fldCharType="separate"/>
          </w:r>
          <w:r>
            <w:t>8</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_Toc24345 </w:instrText>
          </w:r>
          <w:r>
            <w:rPr>
              <w:rFonts w:ascii="黑体" w:hAnsi="黑体" w:eastAsia="黑体"/>
              <w:bCs/>
              <w:szCs w:val="21"/>
              <w:lang w:val="zh-CN"/>
            </w:rPr>
            <w:fldChar w:fldCharType="separate"/>
          </w:r>
          <w:r>
            <w:rPr>
              <w:rFonts w:hint="eastAsia" w:ascii="黑体" w:hAnsi="黑体" w:eastAsia="黑体"/>
              <w:szCs w:val="32"/>
            </w:rPr>
            <w:t xml:space="preserve">三 </w:t>
          </w:r>
          <w:r>
            <w:rPr>
              <w:rFonts w:hint="eastAsia"/>
              <w:szCs w:val="32"/>
              <w:lang w:eastAsia="zh-CN"/>
            </w:rPr>
            <w:t>北京天地文化发展</w:t>
          </w:r>
          <w:r>
            <w:rPr>
              <w:rFonts w:hint="eastAsia" w:ascii="黑体" w:hAnsi="黑体" w:eastAsia="黑体"/>
              <w:szCs w:val="32"/>
            </w:rPr>
            <w:t>基金会理事会制度</w:t>
          </w:r>
          <w:r>
            <w:tab/>
          </w:r>
          <w:r>
            <w:fldChar w:fldCharType="begin"/>
          </w:r>
          <w:r>
            <w:instrText xml:space="preserve"> PAGEREF _Toc24345 \h </w:instrText>
          </w:r>
          <w:r>
            <w:fldChar w:fldCharType="separate"/>
          </w:r>
          <w:r>
            <w:t>15</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_Toc16357 </w:instrText>
          </w:r>
          <w:r>
            <w:rPr>
              <w:rFonts w:ascii="黑体" w:hAnsi="黑体" w:eastAsia="黑体"/>
              <w:bCs/>
              <w:szCs w:val="21"/>
              <w:lang w:val="zh-CN"/>
            </w:rPr>
            <w:fldChar w:fldCharType="separate"/>
          </w:r>
          <w:r>
            <w:rPr>
              <w:rFonts w:hint="eastAsia" w:ascii="黑体" w:hAnsi="黑体" w:eastAsia="黑体"/>
              <w:szCs w:val="32"/>
            </w:rPr>
            <w:t xml:space="preserve">四 </w:t>
          </w:r>
          <w:r>
            <w:rPr>
              <w:rFonts w:hint="eastAsia"/>
              <w:szCs w:val="32"/>
              <w:lang w:eastAsia="zh-CN"/>
            </w:rPr>
            <w:t>北京天地文化发展</w:t>
          </w:r>
          <w:r>
            <w:rPr>
              <w:rFonts w:hint="eastAsia" w:ascii="黑体" w:hAnsi="黑体" w:eastAsia="黑体"/>
              <w:szCs w:val="32"/>
            </w:rPr>
            <w:t>基金会法人登记证书保管、使用管理制度</w:t>
          </w:r>
          <w:r>
            <w:tab/>
          </w:r>
          <w:r>
            <w:fldChar w:fldCharType="begin"/>
          </w:r>
          <w:r>
            <w:instrText xml:space="preserve"> PAGEREF _Toc16357 \h </w:instrText>
          </w:r>
          <w:r>
            <w:fldChar w:fldCharType="separate"/>
          </w:r>
          <w:r>
            <w:t>20</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_Toc21973 </w:instrText>
          </w:r>
          <w:r>
            <w:rPr>
              <w:rFonts w:ascii="黑体" w:hAnsi="黑体" w:eastAsia="黑体"/>
              <w:bCs/>
              <w:szCs w:val="21"/>
              <w:lang w:val="zh-CN"/>
            </w:rPr>
            <w:fldChar w:fldCharType="separate"/>
          </w:r>
          <w:r>
            <w:rPr>
              <w:rFonts w:hint="eastAsia" w:ascii="黑体" w:hAnsi="黑体" w:eastAsia="黑体"/>
              <w:szCs w:val="32"/>
            </w:rPr>
            <w:t xml:space="preserve">五 </w:t>
          </w:r>
          <w:r>
            <w:rPr>
              <w:rFonts w:hint="eastAsia"/>
              <w:szCs w:val="32"/>
              <w:lang w:eastAsia="zh-CN"/>
            </w:rPr>
            <w:t>北京天地文化发展</w:t>
          </w:r>
          <w:r>
            <w:rPr>
              <w:rFonts w:hint="eastAsia" w:ascii="黑体" w:hAnsi="黑体" w:eastAsia="黑体"/>
              <w:szCs w:val="32"/>
            </w:rPr>
            <w:t>基金会印章保管、使用管理制度</w:t>
          </w:r>
          <w:r>
            <w:tab/>
          </w:r>
          <w:r>
            <w:fldChar w:fldCharType="begin"/>
          </w:r>
          <w:r>
            <w:instrText xml:space="preserve"> PAGEREF _Toc21973 \h </w:instrText>
          </w:r>
          <w:r>
            <w:fldChar w:fldCharType="separate"/>
          </w:r>
          <w:r>
            <w:t>21</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_Toc23804 </w:instrText>
          </w:r>
          <w:r>
            <w:rPr>
              <w:rFonts w:ascii="黑体" w:hAnsi="黑体" w:eastAsia="黑体"/>
              <w:bCs/>
              <w:szCs w:val="21"/>
              <w:lang w:val="zh-CN"/>
            </w:rPr>
            <w:fldChar w:fldCharType="separate"/>
          </w:r>
          <w:r>
            <w:rPr>
              <w:rFonts w:hint="eastAsia" w:ascii="黑体" w:hAnsi="黑体" w:eastAsia="黑体"/>
              <w:szCs w:val="32"/>
            </w:rPr>
            <w:t xml:space="preserve">六 </w:t>
          </w:r>
          <w:r>
            <w:rPr>
              <w:rFonts w:hint="eastAsia"/>
              <w:szCs w:val="32"/>
              <w:lang w:eastAsia="zh-CN"/>
            </w:rPr>
            <w:t>北京天地文化发展</w:t>
          </w:r>
          <w:r>
            <w:rPr>
              <w:rFonts w:hint="eastAsia" w:ascii="黑体" w:hAnsi="黑体" w:eastAsia="黑体"/>
              <w:szCs w:val="32"/>
            </w:rPr>
            <w:t>基金会采购制度</w:t>
          </w:r>
          <w:r>
            <w:tab/>
          </w:r>
          <w:r>
            <w:fldChar w:fldCharType="begin"/>
          </w:r>
          <w:r>
            <w:instrText xml:space="preserve"> PAGEREF _Toc23804 \h </w:instrText>
          </w:r>
          <w:r>
            <w:fldChar w:fldCharType="separate"/>
          </w:r>
          <w:r>
            <w:t>23</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_Toc22232 </w:instrText>
          </w:r>
          <w:r>
            <w:rPr>
              <w:rFonts w:ascii="黑体" w:hAnsi="黑体" w:eastAsia="黑体"/>
              <w:bCs/>
              <w:szCs w:val="21"/>
              <w:lang w:val="zh-CN"/>
            </w:rPr>
            <w:fldChar w:fldCharType="separate"/>
          </w:r>
          <w:r>
            <w:rPr>
              <w:rFonts w:hint="eastAsia" w:ascii="黑体" w:hAnsi="黑体" w:eastAsia="黑体"/>
              <w:szCs w:val="32"/>
            </w:rPr>
            <w:t xml:space="preserve">七 </w:t>
          </w:r>
          <w:r>
            <w:rPr>
              <w:rFonts w:hint="eastAsia"/>
              <w:szCs w:val="32"/>
              <w:lang w:eastAsia="zh-CN"/>
            </w:rPr>
            <w:t>北京天地文化发展</w:t>
          </w:r>
          <w:r>
            <w:rPr>
              <w:rFonts w:hint="eastAsia" w:ascii="黑体" w:hAnsi="黑体" w:eastAsia="黑体"/>
              <w:szCs w:val="32"/>
            </w:rPr>
            <w:t>基金会资产管理制度</w:t>
          </w:r>
          <w:r>
            <w:tab/>
          </w:r>
          <w:r>
            <w:fldChar w:fldCharType="begin"/>
          </w:r>
          <w:r>
            <w:instrText xml:space="preserve"> PAGEREF _Toc22232 \h </w:instrText>
          </w:r>
          <w:r>
            <w:fldChar w:fldCharType="separate"/>
          </w:r>
          <w:r>
            <w:t>25</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_Toc15550 </w:instrText>
          </w:r>
          <w:r>
            <w:rPr>
              <w:rFonts w:ascii="黑体" w:hAnsi="黑体" w:eastAsia="黑体"/>
              <w:bCs/>
              <w:szCs w:val="21"/>
              <w:lang w:val="zh-CN"/>
            </w:rPr>
            <w:fldChar w:fldCharType="separate"/>
          </w:r>
          <w:r>
            <w:rPr>
              <w:rFonts w:hint="eastAsia" w:ascii="黑体" w:hAnsi="黑体" w:eastAsia="黑体"/>
              <w:szCs w:val="32"/>
            </w:rPr>
            <w:t xml:space="preserve">八 </w:t>
          </w:r>
          <w:r>
            <w:rPr>
              <w:rFonts w:hint="eastAsia"/>
              <w:szCs w:val="32"/>
              <w:lang w:eastAsia="zh-CN"/>
            </w:rPr>
            <w:t>北京天地文化发展</w:t>
          </w:r>
          <w:r>
            <w:rPr>
              <w:rFonts w:hint="eastAsia" w:ascii="黑体" w:hAnsi="黑体" w:eastAsia="黑体"/>
              <w:szCs w:val="32"/>
            </w:rPr>
            <w:t>基金会信息公开制度</w:t>
          </w:r>
          <w:r>
            <w:tab/>
          </w:r>
          <w:r>
            <w:fldChar w:fldCharType="begin"/>
          </w:r>
          <w:r>
            <w:instrText xml:space="preserve"> PAGEREF _Toc15550 \h </w:instrText>
          </w:r>
          <w:r>
            <w:fldChar w:fldCharType="separate"/>
          </w:r>
          <w:r>
            <w:t>28</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_Toc19531 </w:instrText>
          </w:r>
          <w:r>
            <w:rPr>
              <w:rFonts w:ascii="黑体" w:hAnsi="黑体" w:eastAsia="黑体"/>
              <w:bCs/>
              <w:szCs w:val="21"/>
              <w:lang w:val="zh-CN"/>
            </w:rPr>
            <w:fldChar w:fldCharType="separate"/>
          </w:r>
          <w:r>
            <w:rPr>
              <w:rFonts w:hint="eastAsia" w:ascii="黑体" w:hAnsi="黑体" w:eastAsia="黑体"/>
              <w:szCs w:val="32"/>
            </w:rPr>
            <w:t xml:space="preserve">九 </w:t>
          </w:r>
          <w:r>
            <w:rPr>
              <w:rFonts w:hint="eastAsia"/>
              <w:szCs w:val="32"/>
              <w:lang w:eastAsia="zh-CN"/>
            </w:rPr>
            <w:t>北京天地文化发展</w:t>
          </w:r>
          <w:r>
            <w:rPr>
              <w:rFonts w:hint="eastAsia" w:ascii="黑体" w:hAnsi="黑体" w:eastAsia="黑体"/>
              <w:szCs w:val="32"/>
            </w:rPr>
            <w:t>基金会会议管理制度</w:t>
          </w:r>
          <w:r>
            <w:tab/>
          </w:r>
          <w:r>
            <w:fldChar w:fldCharType="begin"/>
          </w:r>
          <w:r>
            <w:instrText xml:space="preserve"> PAGEREF _Toc19531 \h </w:instrText>
          </w:r>
          <w:r>
            <w:fldChar w:fldCharType="separate"/>
          </w:r>
          <w:r>
            <w:t>32</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_Toc26329 </w:instrText>
          </w:r>
          <w:r>
            <w:rPr>
              <w:rFonts w:ascii="黑体" w:hAnsi="黑体" w:eastAsia="黑体"/>
              <w:bCs/>
              <w:szCs w:val="21"/>
              <w:lang w:val="zh-CN"/>
            </w:rPr>
            <w:fldChar w:fldCharType="separate"/>
          </w:r>
          <w:r>
            <w:rPr>
              <w:rFonts w:hint="eastAsia" w:ascii="黑体" w:hAnsi="黑体" w:eastAsia="黑体"/>
              <w:szCs w:val="32"/>
            </w:rPr>
            <w:t xml:space="preserve">十 </w:t>
          </w:r>
          <w:r>
            <w:rPr>
              <w:rFonts w:hint="eastAsia"/>
              <w:szCs w:val="32"/>
              <w:lang w:eastAsia="zh-CN"/>
            </w:rPr>
            <w:t>北京天地文化发展</w:t>
          </w:r>
          <w:r>
            <w:rPr>
              <w:rFonts w:hint="eastAsia" w:ascii="黑体" w:hAnsi="黑体" w:eastAsia="黑体"/>
              <w:szCs w:val="32"/>
            </w:rPr>
            <w:t>基金会差旅管理制度</w:t>
          </w:r>
          <w:r>
            <w:tab/>
          </w:r>
          <w:r>
            <w:fldChar w:fldCharType="begin"/>
          </w:r>
          <w:r>
            <w:instrText xml:space="preserve"> PAGEREF _Toc26329 \h </w:instrText>
          </w:r>
          <w:r>
            <w:fldChar w:fldCharType="separate"/>
          </w:r>
          <w:r>
            <w:t>37</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_Toc21697 </w:instrText>
          </w:r>
          <w:r>
            <w:rPr>
              <w:rFonts w:ascii="黑体" w:hAnsi="黑体" w:eastAsia="黑体"/>
              <w:bCs/>
              <w:szCs w:val="21"/>
              <w:lang w:val="zh-CN"/>
            </w:rPr>
            <w:fldChar w:fldCharType="separate"/>
          </w:r>
          <w:r>
            <w:rPr>
              <w:rFonts w:hint="eastAsia" w:ascii="黑体" w:hAnsi="黑体" w:eastAsia="黑体"/>
              <w:szCs w:val="32"/>
            </w:rPr>
            <w:t xml:space="preserve">十一 </w:t>
          </w:r>
          <w:r>
            <w:rPr>
              <w:rFonts w:hint="eastAsia"/>
              <w:szCs w:val="32"/>
              <w:lang w:eastAsia="zh-CN"/>
            </w:rPr>
            <w:t>北京天地文化发展</w:t>
          </w:r>
          <w:r>
            <w:rPr>
              <w:rFonts w:hint="eastAsia" w:ascii="黑体" w:hAnsi="黑体" w:eastAsia="黑体"/>
              <w:szCs w:val="32"/>
            </w:rPr>
            <w:t>基金会办公用品管理制度</w:t>
          </w:r>
          <w:r>
            <w:tab/>
          </w:r>
          <w:r>
            <w:fldChar w:fldCharType="begin"/>
          </w:r>
          <w:r>
            <w:instrText xml:space="preserve"> PAGEREF _Toc21697 \h </w:instrText>
          </w:r>
          <w:r>
            <w:fldChar w:fldCharType="separate"/>
          </w:r>
          <w:r>
            <w:t>40</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_Toc18114 </w:instrText>
          </w:r>
          <w:r>
            <w:rPr>
              <w:rFonts w:ascii="黑体" w:hAnsi="黑体" w:eastAsia="黑体"/>
              <w:bCs/>
              <w:szCs w:val="21"/>
              <w:lang w:val="zh-CN"/>
            </w:rPr>
            <w:fldChar w:fldCharType="separate"/>
          </w:r>
          <w:r>
            <w:rPr>
              <w:rFonts w:hint="eastAsia" w:ascii="黑体" w:hAnsi="黑体" w:eastAsia="黑体"/>
              <w:szCs w:val="32"/>
            </w:rPr>
            <w:t xml:space="preserve">十二 </w:t>
          </w:r>
          <w:r>
            <w:rPr>
              <w:rFonts w:hint="eastAsia"/>
              <w:szCs w:val="32"/>
              <w:lang w:eastAsia="zh-CN"/>
            </w:rPr>
            <w:t>北京天地文化发展</w:t>
          </w:r>
          <w:r>
            <w:rPr>
              <w:rFonts w:hint="eastAsia" w:ascii="黑体" w:hAnsi="黑体" w:eastAsia="黑体"/>
              <w:szCs w:val="32"/>
            </w:rPr>
            <w:t>基金会档案管理制度</w:t>
          </w:r>
          <w:r>
            <w:tab/>
          </w:r>
          <w:r>
            <w:fldChar w:fldCharType="begin"/>
          </w:r>
          <w:r>
            <w:instrText xml:space="preserve"> PAGEREF _Toc18114 \h </w:instrText>
          </w:r>
          <w:r>
            <w:fldChar w:fldCharType="separate"/>
          </w:r>
          <w:r>
            <w:t>42</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_Toc8259 </w:instrText>
          </w:r>
          <w:r>
            <w:rPr>
              <w:rFonts w:ascii="黑体" w:hAnsi="黑体" w:eastAsia="黑体"/>
              <w:bCs/>
              <w:szCs w:val="21"/>
              <w:lang w:val="zh-CN"/>
            </w:rPr>
            <w:fldChar w:fldCharType="separate"/>
          </w:r>
          <w:r>
            <w:rPr>
              <w:rFonts w:hint="eastAsia" w:ascii="黑体" w:hAnsi="黑体" w:eastAsia="黑体"/>
              <w:szCs w:val="32"/>
            </w:rPr>
            <w:t xml:space="preserve">十三 </w:t>
          </w:r>
          <w:r>
            <w:rPr>
              <w:rFonts w:hint="eastAsia"/>
              <w:szCs w:val="32"/>
              <w:lang w:eastAsia="zh-CN"/>
            </w:rPr>
            <w:t>北京天地文化发展</w:t>
          </w:r>
          <w:r>
            <w:rPr>
              <w:rFonts w:hint="eastAsia" w:ascii="黑体" w:hAnsi="黑体" w:eastAsia="黑体"/>
              <w:szCs w:val="32"/>
            </w:rPr>
            <w:t>基金会重大事项报告制度</w:t>
          </w:r>
          <w:r>
            <w:tab/>
          </w:r>
          <w:r>
            <w:fldChar w:fldCharType="begin"/>
          </w:r>
          <w:r>
            <w:instrText xml:space="preserve"> PAGEREF _Toc8259 \h </w:instrText>
          </w:r>
          <w:r>
            <w:fldChar w:fldCharType="separate"/>
          </w:r>
          <w:r>
            <w:t>51</w:t>
          </w:r>
          <w:r>
            <w:fldChar w:fldCharType="end"/>
          </w:r>
          <w:r>
            <w:rPr>
              <w:rFonts w:ascii="黑体" w:hAnsi="黑体" w:eastAsia="黑体"/>
              <w:bCs/>
              <w:szCs w:val="21"/>
              <w:lang w:val="zh-CN"/>
            </w:rPr>
            <w:fldChar w:fldCharType="end"/>
          </w:r>
        </w:p>
        <w:p>
          <w:pPr>
            <w:pStyle w:val="7"/>
            <w:tabs>
              <w:tab w:val="right" w:leader="dot" w:pos="8405"/>
              <w:tab w:val="clear" w:pos="8296"/>
            </w:tabs>
            <w:rPr>
              <w:rFonts w:ascii="黑体" w:hAnsi="黑体" w:eastAsia="黑体"/>
              <w:bCs/>
              <w:szCs w:val="21"/>
              <w:lang w:val="zh-CN"/>
            </w:rPr>
          </w:pPr>
          <w:r>
            <w:rPr>
              <w:rFonts w:ascii="黑体" w:hAnsi="黑体" w:eastAsia="黑体"/>
              <w:bCs/>
              <w:szCs w:val="21"/>
              <w:lang w:val="zh-CN"/>
            </w:rPr>
            <w:fldChar w:fldCharType="begin"/>
          </w:r>
          <w:r>
            <w:rPr>
              <w:rFonts w:ascii="黑体" w:hAnsi="黑体" w:eastAsia="黑体"/>
              <w:bCs/>
              <w:szCs w:val="21"/>
              <w:lang w:val="zh-CN"/>
            </w:rPr>
            <w:instrText xml:space="preserve"> HYPERLINK \l _Toc7456 </w:instrText>
          </w:r>
          <w:r>
            <w:rPr>
              <w:rFonts w:ascii="黑体" w:hAnsi="黑体" w:eastAsia="黑体"/>
              <w:bCs/>
              <w:szCs w:val="21"/>
              <w:lang w:val="zh-CN"/>
            </w:rPr>
            <w:fldChar w:fldCharType="separate"/>
          </w:r>
          <w:r>
            <w:rPr>
              <w:rFonts w:hint="eastAsia" w:ascii="黑体" w:hAnsi="黑体" w:eastAsia="黑体"/>
              <w:szCs w:val="32"/>
            </w:rPr>
            <w:t xml:space="preserve">十四 </w:t>
          </w:r>
          <w:r>
            <w:rPr>
              <w:rFonts w:hint="eastAsia"/>
              <w:szCs w:val="32"/>
              <w:lang w:eastAsia="zh-CN"/>
            </w:rPr>
            <w:t>北京天地文化发展</w:t>
          </w:r>
          <w:r>
            <w:rPr>
              <w:rFonts w:hint="eastAsia" w:ascii="黑体" w:hAnsi="黑体" w:eastAsia="黑体"/>
              <w:szCs w:val="32"/>
            </w:rPr>
            <w:t>基金会财务管理制度</w:t>
          </w:r>
          <w:r>
            <w:tab/>
          </w:r>
          <w:r>
            <w:fldChar w:fldCharType="begin"/>
          </w:r>
          <w:r>
            <w:instrText xml:space="preserve"> PAGEREF _Toc7456 \h </w:instrText>
          </w:r>
          <w:r>
            <w:fldChar w:fldCharType="separate"/>
          </w:r>
          <w:r>
            <w:t>52</w:t>
          </w:r>
          <w:r>
            <w:fldChar w:fldCharType="end"/>
          </w:r>
          <w:r>
            <w:rPr>
              <w:rFonts w:ascii="黑体" w:hAnsi="黑体" w:eastAsia="黑体"/>
              <w:bCs/>
              <w:szCs w:val="21"/>
              <w:lang w:val="zh-CN"/>
            </w:rPr>
            <w:fldChar w:fldCharType="end"/>
          </w:r>
        </w:p>
        <w:p>
          <w:pPr>
            <w:jc w:val="left"/>
            <w:rPr>
              <w:rFonts w:hint="default" w:eastAsiaTheme="minorEastAsia"/>
              <w:lang w:val="en-US" w:eastAsia="zh-CN"/>
            </w:rPr>
          </w:pPr>
          <w:r>
            <w:rPr>
              <w:rFonts w:hint="eastAsia"/>
              <w:lang w:val="en-US" w:eastAsia="zh-CN"/>
            </w:rPr>
            <w:t xml:space="preserve">    </w:t>
          </w:r>
          <w:r>
            <w:rPr>
              <w:rFonts w:ascii="黑体" w:hAnsi="黑体" w:eastAsia="黑体"/>
              <w:bCs/>
              <w:szCs w:val="21"/>
              <w:lang w:val="zh-CN"/>
            </w:rPr>
            <w:fldChar w:fldCharType="begin"/>
          </w:r>
          <w:r>
            <w:rPr>
              <w:rFonts w:ascii="黑体" w:hAnsi="黑体" w:eastAsia="黑体"/>
              <w:bCs/>
              <w:szCs w:val="21"/>
              <w:lang w:val="zh-CN"/>
            </w:rPr>
            <w:instrText xml:space="preserve"> HYPERLINK \l _Toc7456 </w:instrText>
          </w:r>
          <w:r>
            <w:rPr>
              <w:rFonts w:ascii="黑体" w:hAnsi="黑体" w:eastAsia="黑体"/>
              <w:bCs/>
              <w:szCs w:val="21"/>
              <w:lang w:val="zh-CN"/>
            </w:rPr>
            <w:fldChar w:fldCharType="separate"/>
          </w:r>
          <w:r>
            <w:rPr>
              <w:rFonts w:hint="eastAsia" w:ascii="黑体" w:hAnsi="黑体" w:eastAsia="黑体"/>
              <w:szCs w:val="32"/>
            </w:rPr>
            <w:t>十</w:t>
          </w:r>
          <w:r>
            <w:rPr>
              <w:rFonts w:hint="eastAsia" w:ascii="黑体" w:hAnsi="黑体" w:eastAsia="黑体"/>
              <w:szCs w:val="32"/>
              <w:lang w:eastAsia="zh-CN"/>
            </w:rPr>
            <w:t>五</w:t>
          </w:r>
          <w:r>
            <w:rPr>
              <w:rFonts w:hint="eastAsia" w:ascii="黑体" w:hAnsi="黑体" w:eastAsia="黑体"/>
              <w:szCs w:val="32"/>
            </w:rPr>
            <w:t xml:space="preserve"> </w:t>
          </w:r>
          <w:r>
            <w:rPr>
              <w:rFonts w:hint="eastAsia" w:ascii="黑体" w:hAnsi="黑体" w:eastAsia="黑体"/>
              <w:szCs w:val="32"/>
              <w:lang w:eastAsia="zh-CN"/>
            </w:rPr>
            <w:t>北京天地文化发展</w:t>
          </w:r>
          <w:r>
            <w:rPr>
              <w:rFonts w:hint="eastAsia" w:ascii="黑体" w:hAnsi="黑体" w:eastAsia="黑体"/>
              <w:szCs w:val="32"/>
            </w:rPr>
            <w:t>基金会财务</w:t>
          </w:r>
          <w:r>
            <w:rPr>
              <w:rFonts w:hint="eastAsia" w:ascii="黑体" w:hAnsi="黑体" w:eastAsia="黑体"/>
              <w:szCs w:val="32"/>
              <w:lang w:val="en-US" w:eastAsia="zh-CN"/>
            </w:rPr>
            <w:t>人员岗位职责……</w:t>
          </w:r>
          <w:r>
            <w:rPr>
              <w:rFonts w:hint="eastAsia"/>
              <w:lang w:eastAsia="zh-CN"/>
            </w:rPr>
            <w:t>……………………………</w:t>
          </w:r>
          <w:r>
            <w:rPr>
              <w:rFonts w:hint="eastAsia" w:ascii="黑体" w:hAnsi="黑体" w:eastAsia="黑体" w:cstheme="minorBidi"/>
              <w:kern w:val="2"/>
              <w:sz w:val="21"/>
              <w:szCs w:val="21"/>
              <w:lang w:val="en-US" w:eastAsia="zh-CN" w:bidi="ar-SA"/>
            </w:rPr>
            <w:t>60</w:t>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_Toc666 </w:instrText>
          </w:r>
          <w:r>
            <w:rPr>
              <w:rFonts w:ascii="黑体" w:hAnsi="黑体" w:eastAsia="黑体"/>
              <w:bCs/>
              <w:szCs w:val="21"/>
              <w:lang w:val="zh-CN"/>
            </w:rPr>
            <w:fldChar w:fldCharType="separate"/>
          </w:r>
          <w:r>
            <w:rPr>
              <w:rFonts w:hint="eastAsia" w:ascii="黑体" w:hAnsi="黑体" w:eastAsia="黑体"/>
              <w:szCs w:val="32"/>
            </w:rPr>
            <w:t>十</w:t>
          </w:r>
          <w:r>
            <w:rPr>
              <w:rFonts w:hint="eastAsia" w:ascii="黑体" w:hAnsi="黑体" w:eastAsia="黑体"/>
              <w:szCs w:val="32"/>
              <w:lang w:val="en-US" w:eastAsia="zh-CN"/>
            </w:rPr>
            <w:t>六</w:t>
          </w:r>
          <w:r>
            <w:rPr>
              <w:rFonts w:hint="eastAsia" w:ascii="黑体" w:hAnsi="黑体" w:eastAsia="黑体"/>
              <w:szCs w:val="32"/>
            </w:rPr>
            <w:t xml:space="preserve"> </w:t>
          </w:r>
          <w:r>
            <w:rPr>
              <w:rFonts w:hint="eastAsia"/>
              <w:szCs w:val="32"/>
              <w:lang w:eastAsia="zh-CN"/>
            </w:rPr>
            <w:t>北京天地文化发展</w:t>
          </w:r>
          <w:r>
            <w:rPr>
              <w:rFonts w:hint="eastAsia" w:ascii="黑体" w:hAnsi="黑体" w:eastAsia="黑体"/>
              <w:szCs w:val="32"/>
            </w:rPr>
            <w:t>基金会会计档案管理制度</w:t>
          </w:r>
          <w:r>
            <w:tab/>
          </w:r>
          <w:r>
            <w:fldChar w:fldCharType="begin"/>
          </w:r>
          <w:r>
            <w:instrText xml:space="preserve"> PAGEREF _Toc666 \h </w:instrText>
          </w:r>
          <w:r>
            <w:fldChar w:fldCharType="separate"/>
          </w:r>
          <w:r>
            <w:t>62</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_Toc5485 </w:instrText>
          </w:r>
          <w:r>
            <w:rPr>
              <w:rFonts w:ascii="黑体" w:hAnsi="黑体" w:eastAsia="黑体"/>
              <w:bCs/>
              <w:szCs w:val="21"/>
              <w:lang w:val="zh-CN"/>
            </w:rPr>
            <w:fldChar w:fldCharType="separate"/>
          </w:r>
          <w:r>
            <w:rPr>
              <w:rFonts w:hint="eastAsia" w:ascii="黑体" w:hAnsi="黑体" w:eastAsia="黑体"/>
              <w:szCs w:val="32"/>
            </w:rPr>
            <w:t>十</w:t>
          </w:r>
          <w:r>
            <w:rPr>
              <w:rFonts w:hint="eastAsia" w:ascii="黑体" w:hAnsi="黑体" w:eastAsia="黑体"/>
              <w:szCs w:val="32"/>
              <w:lang w:val="en-US" w:eastAsia="zh-CN"/>
            </w:rPr>
            <w:t>七</w:t>
          </w:r>
          <w:r>
            <w:rPr>
              <w:rFonts w:hint="eastAsia" w:ascii="黑体" w:hAnsi="黑体" w:eastAsia="黑体"/>
              <w:szCs w:val="32"/>
            </w:rPr>
            <w:t xml:space="preserve"> </w:t>
          </w:r>
          <w:r>
            <w:rPr>
              <w:rFonts w:hint="eastAsia"/>
              <w:szCs w:val="32"/>
              <w:lang w:eastAsia="zh-CN"/>
            </w:rPr>
            <w:t>北京天地文化发展</w:t>
          </w:r>
          <w:r>
            <w:rPr>
              <w:rFonts w:hint="eastAsia" w:ascii="黑体" w:hAnsi="黑体" w:eastAsia="黑体"/>
              <w:szCs w:val="32"/>
            </w:rPr>
            <w:t>基金会票据管理制度</w:t>
          </w:r>
          <w:r>
            <w:tab/>
          </w:r>
          <w:r>
            <w:fldChar w:fldCharType="begin"/>
          </w:r>
          <w:r>
            <w:instrText xml:space="preserve"> PAGEREF _Toc5485 \h </w:instrText>
          </w:r>
          <w:r>
            <w:fldChar w:fldCharType="separate"/>
          </w:r>
          <w:r>
            <w:t>65</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_Toc19677 </w:instrText>
          </w:r>
          <w:r>
            <w:rPr>
              <w:rFonts w:ascii="黑体" w:hAnsi="黑体" w:eastAsia="黑体"/>
              <w:bCs/>
              <w:szCs w:val="21"/>
              <w:lang w:val="zh-CN"/>
            </w:rPr>
            <w:fldChar w:fldCharType="separate"/>
          </w:r>
          <w:r>
            <w:rPr>
              <w:rFonts w:hint="eastAsia" w:ascii="黑体" w:hAnsi="黑体" w:eastAsia="黑体"/>
              <w:szCs w:val="32"/>
            </w:rPr>
            <w:t>十</w:t>
          </w:r>
          <w:r>
            <w:rPr>
              <w:rFonts w:hint="eastAsia" w:ascii="黑体" w:hAnsi="黑体" w:eastAsia="黑体"/>
              <w:szCs w:val="32"/>
              <w:lang w:val="en-US" w:eastAsia="zh-CN"/>
            </w:rPr>
            <w:t>八</w:t>
          </w:r>
          <w:r>
            <w:rPr>
              <w:rFonts w:hint="eastAsia" w:ascii="黑体" w:hAnsi="黑体" w:eastAsia="黑体"/>
              <w:szCs w:val="32"/>
            </w:rPr>
            <w:t xml:space="preserve"> </w:t>
          </w:r>
          <w:r>
            <w:rPr>
              <w:rFonts w:hint="eastAsia"/>
              <w:szCs w:val="32"/>
              <w:lang w:eastAsia="zh-CN"/>
            </w:rPr>
            <w:t>北京天地文化发展</w:t>
          </w:r>
          <w:r>
            <w:rPr>
              <w:rFonts w:hint="eastAsia" w:ascii="黑体" w:hAnsi="黑体" w:eastAsia="黑体"/>
              <w:szCs w:val="32"/>
            </w:rPr>
            <w:t>基金会人力资源管理制度</w:t>
          </w:r>
          <w:r>
            <w:tab/>
          </w:r>
          <w:r>
            <w:fldChar w:fldCharType="begin"/>
          </w:r>
          <w:r>
            <w:instrText xml:space="preserve"> PAGEREF _Toc19677 \h </w:instrText>
          </w:r>
          <w:r>
            <w:fldChar w:fldCharType="separate"/>
          </w:r>
          <w:r>
            <w:t>66</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_Toc27076 </w:instrText>
          </w:r>
          <w:r>
            <w:rPr>
              <w:rFonts w:ascii="黑体" w:hAnsi="黑体" w:eastAsia="黑体"/>
              <w:bCs/>
              <w:szCs w:val="21"/>
              <w:lang w:val="zh-CN"/>
            </w:rPr>
            <w:fldChar w:fldCharType="separate"/>
          </w:r>
          <w:r>
            <w:rPr>
              <w:rFonts w:hint="eastAsia" w:ascii="黑体" w:hAnsi="黑体" w:eastAsia="黑体"/>
              <w:szCs w:val="32"/>
            </w:rPr>
            <w:t>十</w:t>
          </w:r>
          <w:r>
            <w:rPr>
              <w:rFonts w:hint="eastAsia" w:ascii="黑体" w:hAnsi="黑体" w:eastAsia="黑体"/>
              <w:szCs w:val="32"/>
              <w:lang w:val="en-US" w:eastAsia="zh-CN"/>
            </w:rPr>
            <w:t>九</w:t>
          </w:r>
          <w:r>
            <w:rPr>
              <w:rFonts w:hint="eastAsia" w:ascii="黑体" w:hAnsi="黑体" w:eastAsia="黑体"/>
              <w:szCs w:val="32"/>
            </w:rPr>
            <w:t xml:space="preserve"> </w:t>
          </w:r>
          <w:r>
            <w:rPr>
              <w:rFonts w:hint="eastAsia"/>
              <w:szCs w:val="32"/>
              <w:lang w:eastAsia="zh-CN"/>
            </w:rPr>
            <w:t>北京天地文化发展</w:t>
          </w:r>
          <w:r>
            <w:rPr>
              <w:rFonts w:hint="eastAsia" w:ascii="黑体" w:hAnsi="黑体" w:eastAsia="黑体"/>
              <w:szCs w:val="32"/>
            </w:rPr>
            <w:t>基金会培训制度</w:t>
          </w:r>
          <w:r>
            <w:tab/>
          </w:r>
          <w:r>
            <w:fldChar w:fldCharType="begin"/>
          </w:r>
          <w:r>
            <w:instrText xml:space="preserve"> PAGEREF _Toc27076 \h </w:instrText>
          </w:r>
          <w:r>
            <w:fldChar w:fldCharType="separate"/>
          </w:r>
          <w:r>
            <w:t>75</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_Toc20632 </w:instrText>
          </w:r>
          <w:r>
            <w:rPr>
              <w:rFonts w:ascii="黑体" w:hAnsi="黑体" w:eastAsia="黑体"/>
              <w:bCs/>
              <w:szCs w:val="21"/>
              <w:lang w:val="zh-CN"/>
            </w:rPr>
            <w:fldChar w:fldCharType="separate"/>
          </w:r>
          <w:r>
            <w:rPr>
              <w:rFonts w:hint="eastAsia" w:ascii="黑体" w:hAnsi="黑体" w:eastAsia="黑体"/>
              <w:szCs w:val="32"/>
              <w:lang w:val="en-US" w:eastAsia="zh-CN"/>
            </w:rPr>
            <w:t>二</w:t>
          </w:r>
          <w:r>
            <w:rPr>
              <w:rFonts w:hint="eastAsia" w:ascii="黑体" w:hAnsi="黑体" w:eastAsia="黑体"/>
              <w:szCs w:val="32"/>
            </w:rPr>
            <w:t xml:space="preserve">十 </w:t>
          </w:r>
          <w:r>
            <w:rPr>
              <w:rFonts w:hint="eastAsia"/>
              <w:szCs w:val="32"/>
              <w:lang w:eastAsia="zh-CN"/>
            </w:rPr>
            <w:t>北京天地文化发展</w:t>
          </w:r>
          <w:r>
            <w:rPr>
              <w:rFonts w:hint="eastAsia" w:ascii="黑体" w:hAnsi="黑体" w:eastAsia="黑体"/>
              <w:szCs w:val="32"/>
            </w:rPr>
            <w:t>基金会招聘管理制度</w:t>
          </w:r>
          <w:r>
            <w:tab/>
          </w:r>
          <w:r>
            <w:fldChar w:fldCharType="begin"/>
          </w:r>
          <w:r>
            <w:instrText xml:space="preserve"> PAGEREF _Toc20632 \h </w:instrText>
          </w:r>
          <w:r>
            <w:fldChar w:fldCharType="separate"/>
          </w:r>
          <w:r>
            <w:t>77</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_Toc3573 </w:instrText>
          </w:r>
          <w:r>
            <w:rPr>
              <w:rFonts w:ascii="黑体" w:hAnsi="黑体" w:eastAsia="黑体"/>
              <w:bCs/>
              <w:szCs w:val="21"/>
              <w:lang w:val="zh-CN"/>
            </w:rPr>
            <w:fldChar w:fldCharType="separate"/>
          </w:r>
          <w:r>
            <w:rPr>
              <w:rFonts w:hint="eastAsia" w:ascii="黑体" w:hAnsi="黑体" w:eastAsia="黑体"/>
              <w:szCs w:val="32"/>
            </w:rPr>
            <w:t>二十</w:t>
          </w:r>
          <w:r>
            <w:rPr>
              <w:rFonts w:hint="eastAsia" w:ascii="黑体" w:hAnsi="黑体" w:eastAsia="黑体"/>
              <w:szCs w:val="32"/>
              <w:lang w:val="en-US" w:eastAsia="zh-CN"/>
            </w:rPr>
            <w:t>一</w:t>
          </w:r>
          <w:r>
            <w:rPr>
              <w:rFonts w:hint="eastAsia" w:ascii="黑体" w:hAnsi="黑体" w:eastAsia="黑体"/>
              <w:szCs w:val="32"/>
            </w:rPr>
            <w:t xml:space="preserve"> </w:t>
          </w:r>
          <w:r>
            <w:rPr>
              <w:rFonts w:hint="eastAsia"/>
              <w:szCs w:val="32"/>
              <w:lang w:eastAsia="zh-CN"/>
            </w:rPr>
            <w:t>北京天地文化发展</w:t>
          </w:r>
          <w:r>
            <w:rPr>
              <w:rFonts w:hint="eastAsia" w:ascii="黑体" w:hAnsi="黑体" w:eastAsia="黑体"/>
              <w:szCs w:val="32"/>
            </w:rPr>
            <w:t>基金会工作奖惩制度</w:t>
          </w:r>
          <w:r>
            <w:tab/>
          </w:r>
          <w:r>
            <w:fldChar w:fldCharType="begin"/>
          </w:r>
          <w:r>
            <w:instrText xml:space="preserve"> PAGEREF _Toc3573 \h </w:instrText>
          </w:r>
          <w:r>
            <w:fldChar w:fldCharType="separate"/>
          </w:r>
          <w:r>
            <w:t>79</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_Toc16645 </w:instrText>
          </w:r>
          <w:r>
            <w:rPr>
              <w:rFonts w:ascii="黑体" w:hAnsi="黑体" w:eastAsia="黑体"/>
              <w:bCs/>
              <w:szCs w:val="21"/>
              <w:lang w:val="zh-CN"/>
            </w:rPr>
            <w:fldChar w:fldCharType="separate"/>
          </w:r>
          <w:r>
            <w:rPr>
              <w:rFonts w:hint="eastAsia" w:ascii="黑体" w:hAnsi="黑体" w:eastAsia="黑体"/>
              <w:szCs w:val="32"/>
            </w:rPr>
            <w:t>二十</w:t>
          </w:r>
          <w:r>
            <w:rPr>
              <w:rFonts w:hint="eastAsia" w:ascii="黑体" w:hAnsi="黑体" w:eastAsia="黑体"/>
              <w:szCs w:val="32"/>
              <w:lang w:val="en-US" w:eastAsia="zh-CN"/>
            </w:rPr>
            <w:t>二</w:t>
          </w:r>
          <w:r>
            <w:rPr>
              <w:rFonts w:hint="eastAsia" w:ascii="黑体" w:hAnsi="黑体" w:eastAsia="黑体"/>
              <w:szCs w:val="32"/>
            </w:rPr>
            <w:t xml:space="preserve"> </w:t>
          </w:r>
          <w:r>
            <w:rPr>
              <w:rFonts w:hint="eastAsia"/>
              <w:szCs w:val="32"/>
              <w:lang w:eastAsia="zh-CN"/>
            </w:rPr>
            <w:t>北京天地文化发展</w:t>
          </w:r>
          <w:r>
            <w:rPr>
              <w:rFonts w:hint="eastAsia" w:ascii="黑体" w:hAnsi="黑体" w:eastAsia="黑体"/>
              <w:szCs w:val="32"/>
            </w:rPr>
            <w:t>基金会绩效考核管理制度</w:t>
          </w:r>
          <w:r>
            <w:tab/>
          </w:r>
          <w:r>
            <w:fldChar w:fldCharType="begin"/>
          </w:r>
          <w:r>
            <w:instrText xml:space="preserve"> PAGEREF _Toc16645 \h </w:instrText>
          </w:r>
          <w:r>
            <w:fldChar w:fldCharType="separate"/>
          </w:r>
          <w:r>
            <w:t>82</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_Toc25679 </w:instrText>
          </w:r>
          <w:r>
            <w:rPr>
              <w:rFonts w:ascii="黑体" w:hAnsi="黑体" w:eastAsia="黑体"/>
              <w:bCs/>
              <w:szCs w:val="21"/>
              <w:lang w:val="zh-CN"/>
            </w:rPr>
            <w:fldChar w:fldCharType="separate"/>
          </w:r>
          <w:r>
            <w:rPr>
              <w:rFonts w:hint="eastAsia" w:ascii="黑体" w:hAnsi="黑体" w:eastAsia="黑体"/>
              <w:szCs w:val="32"/>
            </w:rPr>
            <w:t>二十</w:t>
          </w:r>
          <w:r>
            <w:rPr>
              <w:rFonts w:hint="eastAsia" w:ascii="黑体" w:hAnsi="黑体" w:eastAsia="黑体"/>
              <w:szCs w:val="32"/>
              <w:lang w:val="en-US" w:eastAsia="zh-CN"/>
            </w:rPr>
            <w:t>三</w:t>
          </w:r>
          <w:r>
            <w:rPr>
              <w:rFonts w:hint="eastAsia" w:ascii="黑体" w:hAnsi="黑体" w:eastAsia="黑体"/>
              <w:szCs w:val="32"/>
            </w:rPr>
            <w:t xml:space="preserve"> </w:t>
          </w:r>
          <w:r>
            <w:rPr>
              <w:rFonts w:hint="eastAsia"/>
              <w:szCs w:val="32"/>
              <w:lang w:eastAsia="zh-CN"/>
            </w:rPr>
            <w:t>北京天地文化发展</w:t>
          </w:r>
          <w:r>
            <w:rPr>
              <w:rFonts w:hint="eastAsia" w:ascii="黑体" w:hAnsi="黑体" w:eastAsia="黑体"/>
              <w:szCs w:val="32"/>
            </w:rPr>
            <w:t>基金会考勤与请假管理制度</w:t>
          </w:r>
          <w:r>
            <w:tab/>
          </w:r>
          <w:r>
            <w:fldChar w:fldCharType="begin"/>
          </w:r>
          <w:r>
            <w:instrText xml:space="preserve"> PAGEREF _Toc25679 \h </w:instrText>
          </w:r>
          <w:r>
            <w:fldChar w:fldCharType="separate"/>
          </w:r>
          <w:r>
            <w:t>84</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_Toc2861 </w:instrText>
          </w:r>
          <w:r>
            <w:rPr>
              <w:rFonts w:ascii="黑体" w:hAnsi="黑体" w:eastAsia="黑体"/>
              <w:bCs/>
              <w:szCs w:val="21"/>
              <w:lang w:val="zh-CN"/>
            </w:rPr>
            <w:fldChar w:fldCharType="separate"/>
          </w:r>
          <w:r>
            <w:rPr>
              <w:rFonts w:hint="eastAsia" w:ascii="黑体" w:hAnsi="黑体" w:eastAsia="黑体"/>
              <w:szCs w:val="32"/>
            </w:rPr>
            <w:t>二十</w:t>
          </w:r>
          <w:r>
            <w:rPr>
              <w:rFonts w:hint="eastAsia" w:ascii="黑体" w:hAnsi="黑体" w:eastAsia="黑体"/>
              <w:szCs w:val="32"/>
              <w:lang w:val="en-US" w:eastAsia="zh-CN"/>
            </w:rPr>
            <w:t>四</w:t>
          </w:r>
          <w:r>
            <w:rPr>
              <w:rFonts w:hint="eastAsia" w:ascii="黑体" w:hAnsi="黑体" w:eastAsia="黑体"/>
              <w:szCs w:val="32"/>
            </w:rPr>
            <w:t xml:space="preserve"> </w:t>
          </w:r>
          <w:r>
            <w:rPr>
              <w:rFonts w:hint="eastAsia"/>
              <w:szCs w:val="32"/>
              <w:lang w:eastAsia="zh-CN"/>
            </w:rPr>
            <w:t>北京天地文化发展</w:t>
          </w:r>
          <w:r>
            <w:rPr>
              <w:rFonts w:hint="eastAsia" w:ascii="黑体" w:hAnsi="黑体" w:eastAsia="黑体"/>
              <w:szCs w:val="32"/>
            </w:rPr>
            <w:t>基金会志愿者管理制度</w:t>
          </w:r>
          <w:r>
            <w:tab/>
          </w:r>
          <w:r>
            <w:fldChar w:fldCharType="begin"/>
          </w:r>
          <w:r>
            <w:instrText xml:space="preserve"> PAGEREF _Toc2861 \h </w:instrText>
          </w:r>
          <w:r>
            <w:fldChar w:fldCharType="separate"/>
          </w:r>
          <w:r>
            <w:t>88</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_Toc20943 </w:instrText>
          </w:r>
          <w:r>
            <w:rPr>
              <w:rFonts w:ascii="黑体" w:hAnsi="黑体" w:eastAsia="黑体"/>
              <w:bCs/>
              <w:szCs w:val="21"/>
              <w:lang w:val="zh-CN"/>
            </w:rPr>
            <w:fldChar w:fldCharType="separate"/>
          </w:r>
          <w:r>
            <w:rPr>
              <w:rFonts w:hint="eastAsia" w:ascii="黑体" w:hAnsi="黑体" w:eastAsia="黑体"/>
              <w:szCs w:val="32"/>
              <w:lang w:val="en-US" w:eastAsia="zh-CN"/>
            </w:rPr>
            <w:t xml:space="preserve">二十五 </w:t>
          </w:r>
          <w:r>
            <w:rPr>
              <w:rFonts w:hint="eastAsia"/>
              <w:szCs w:val="32"/>
              <w:lang w:eastAsia="zh-CN"/>
            </w:rPr>
            <w:t>北京天地</w:t>
          </w:r>
          <w:r>
            <w:rPr>
              <w:rFonts w:hint="eastAsia"/>
              <w:szCs w:val="32"/>
              <w:lang w:val="en-US" w:eastAsia="zh-CN"/>
            </w:rPr>
            <w:t>文化发展</w:t>
          </w:r>
          <w:r>
            <w:rPr>
              <w:rFonts w:hint="eastAsia" w:ascii="黑体" w:hAnsi="黑体" w:eastAsia="黑体"/>
              <w:szCs w:val="32"/>
              <w:lang w:eastAsia="zh-CN"/>
            </w:rPr>
            <w:t>基金会</w:t>
          </w:r>
          <w:r>
            <w:rPr>
              <w:rFonts w:hint="eastAsia" w:ascii="黑体" w:hAnsi="黑体" w:eastAsia="黑体"/>
              <w:szCs w:val="32"/>
            </w:rPr>
            <w:t>预防腐败制度</w:t>
          </w:r>
          <w:r>
            <w:tab/>
          </w:r>
          <w:r>
            <w:fldChar w:fldCharType="begin"/>
          </w:r>
          <w:r>
            <w:instrText xml:space="preserve"> PAGEREF _Toc20943 \h </w:instrText>
          </w:r>
          <w:r>
            <w:fldChar w:fldCharType="separate"/>
          </w:r>
          <w:r>
            <w:t>90</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_Toc17386 </w:instrText>
          </w:r>
          <w:r>
            <w:rPr>
              <w:rFonts w:ascii="黑体" w:hAnsi="黑体" w:eastAsia="黑体"/>
              <w:bCs/>
              <w:szCs w:val="21"/>
              <w:lang w:val="zh-CN"/>
            </w:rPr>
            <w:fldChar w:fldCharType="separate"/>
          </w:r>
          <w:r>
            <w:rPr>
              <w:rFonts w:hint="eastAsia" w:asciiTheme="minorEastAsia" w:hAnsiTheme="minorEastAsia"/>
              <w:szCs w:val="24"/>
            </w:rPr>
            <w:t>附件2-1：《礼品/纪念品申领表》</w:t>
          </w:r>
          <w:r>
            <w:tab/>
          </w:r>
          <w:r>
            <w:fldChar w:fldCharType="begin"/>
          </w:r>
          <w:r>
            <w:instrText xml:space="preserve"> PAGEREF _Toc17386 \h </w:instrText>
          </w:r>
          <w:r>
            <w:fldChar w:fldCharType="separate"/>
          </w:r>
          <w:r>
            <w:t>93</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_Toc29829 </w:instrText>
          </w:r>
          <w:r>
            <w:rPr>
              <w:rFonts w:ascii="黑体" w:hAnsi="黑体" w:eastAsia="黑体"/>
              <w:bCs/>
              <w:szCs w:val="21"/>
              <w:lang w:val="zh-CN"/>
            </w:rPr>
            <w:fldChar w:fldCharType="separate"/>
          </w:r>
          <w:r>
            <w:rPr>
              <w:rFonts w:hint="eastAsia" w:asciiTheme="minorEastAsia" w:hAnsiTheme="minorEastAsia"/>
              <w:szCs w:val="24"/>
            </w:rPr>
            <w:t>附件3-1：《理事会会议纪要》</w:t>
          </w:r>
          <w:r>
            <w:tab/>
          </w:r>
          <w:r>
            <w:fldChar w:fldCharType="begin"/>
          </w:r>
          <w:r>
            <w:instrText xml:space="preserve"> PAGEREF _Toc29829 \h </w:instrText>
          </w:r>
          <w:r>
            <w:fldChar w:fldCharType="separate"/>
          </w:r>
          <w:r>
            <w:t>94</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_Toc801 </w:instrText>
          </w:r>
          <w:r>
            <w:rPr>
              <w:rFonts w:ascii="黑体" w:hAnsi="黑体" w:eastAsia="黑体"/>
              <w:bCs/>
              <w:szCs w:val="21"/>
              <w:lang w:val="zh-CN"/>
            </w:rPr>
            <w:fldChar w:fldCharType="separate"/>
          </w:r>
          <w:r>
            <w:rPr>
              <w:rFonts w:hint="eastAsia" w:asciiTheme="minorEastAsia" w:hAnsiTheme="minorEastAsia"/>
              <w:szCs w:val="24"/>
            </w:rPr>
            <w:t>附件3-2：《理事会会议决议》</w:t>
          </w:r>
          <w:r>
            <w:tab/>
          </w:r>
          <w:r>
            <w:fldChar w:fldCharType="begin"/>
          </w:r>
          <w:r>
            <w:instrText xml:space="preserve"> PAGEREF _Toc801 \h </w:instrText>
          </w:r>
          <w:r>
            <w:fldChar w:fldCharType="separate"/>
          </w:r>
          <w:r>
            <w:t>95</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_Toc5749 </w:instrText>
          </w:r>
          <w:r>
            <w:rPr>
              <w:rFonts w:ascii="黑体" w:hAnsi="黑体" w:eastAsia="黑体"/>
              <w:bCs/>
              <w:szCs w:val="21"/>
              <w:lang w:val="zh-CN"/>
            </w:rPr>
            <w:fldChar w:fldCharType="separate"/>
          </w:r>
          <w:r>
            <w:rPr>
              <w:rFonts w:hint="eastAsia" w:asciiTheme="minorEastAsia" w:hAnsiTheme="minorEastAsia"/>
              <w:szCs w:val="24"/>
            </w:rPr>
            <w:t>附件3-3：《决议内容》</w:t>
          </w:r>
          <w:r>
            <w:tab/>
          </w:r>
          <w:r>
            <w:fldChar w:fldCharType="begin"/>
          </w:r>
          <w:r>
            <w:instrText xml:space="preserve"> PAGEREF _Toc5749 \h </w:instrText>
          </w:r>
          <w:r>
            <w:fldChar w:fldCharType="separate"/>
          </w:r>
          <w:r>
            <w:t>97</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_Toc32177 </w:instrText>
          </w:r>
          <w:r>
            <w:rPr>
              <w:rFonts w:ascii="黑体" w:hAnsi="黑体" w:eastAsia="黑体"/>
              <w:bCs/>
              <w:szCs w:val="21"/>
              <w:lang w:val="zh-CN"/>
            </w:rPr>
            <w:fldChar w:fldCharType="separate"/>
          </w:r>
          <w:r>
            <w:rPr>
              <w:rFonts w:hint="eastAsia" w:asciiTheme="minorEastAsia" w:hAnsiTheme="minorEastAsia"/>
              <w:szCs w:val="24"/>
            </w:rPr>
            <w:t>附件3-4：《决议表决票》</w:t>
          </w:r>
          <w:r>
            <w:tab/>
          </w:r>
          <w:r>
            <w:fldChar w:fldCharType="begin"/>
          </w:r>
          <w:r>
            <w:instrText xml:space="preserve"> PAGEREF _Toc32177 \h </w:instrText>
          </w:r>
          <w:r>
            <w:fldChar w:fldCharType="separate"/>
          </w:r>
          <w:r>
            <w:t>99</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_Toc2116 </w:instrText>
          </w:r>
          <w:r>
            <w:rPr>
              <w:rFonts w:ascii="黑体" w:hAnsi="黑体" w:eastAsia="黑体"/>
              <w:bCs/>
              <w:szCs w:val="21"/>
              <w:lang w:val="zh-CN"/>
            </w:rPr>
            <w:fldChar w:fldCharType="separate"/>
          </w:r>
          <w:r>
            <w:rPr>
              <w:rFonts w:hint="eastAsia" w:asciiTheme="minorEastAsia" w:hAnsiTheme="minorEastAsia"/>
              <w:szCs w:val="24"/>
            </w:rPr>
            <w:t>附件4-1：《法人登记证书使用申请表》</w:t>
          </w:r>
          <w:r>
            <w:tab/>
          </w:r>
          <w:r>
            <w:fldChar w:fldCharType="begin"/>
          </w:r>
          <w:r>
            <w:instrText xml:space="preserve"> PAGEREF _Toc2116 \h </w:instrText>
          </w:r>
          <w:r>
            <w:fldChar w:fldCharType="separate"/>
          </w:r>
          <w:r>
            <w:t>100</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_Toc31716 </w:instrText>
          </w:r>
          <w:r>
            <w:rPr>
              <w:rFonts w:ascii="黑体" w:hAnsi="黑体" w:eastAsia="黑体"/>
              <w:bCs/>
              <w:szCs w:val="21"/>
              <w:lang w:val="zh-CN"/>
            </w:rPr>
            <w:fldChar w:fldCharType="separate"/>
          </w:r>
          <w:r>
            <w:rPr>
              <w:rFonts w:hint="eastAsia" w:asciiTheme="minorEastAsia" w:hAnsiTheme="minorEastAsia"/>
              <w:szCs w:val="24"/>
            </w:rPr>
            <w:t>附件5-1：《印章使用申请表》</w:t>
          </w:r>
          <w:r>
            <w:tab/>
          </w:r>
          <w:r>
            <w:fldChar w:fldCharType="begin"/>
          </w:r>
          <w:r>
            <w:instrText xml:space="preserve"> PAGEREF _Toc31716 \h </w:instrText>
          </w:r>
          <w:r>
            <w:fldChar w:fldCharType="separate"/>
          </w:r>
          <w:r>
            <w:t>101</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_Toc10855 </w:instrText>
          </w:r>
          <w:r>
            <w:rPr>
              <w:rFonts w:ascii="黑体" w:hAnsi="黑体" w:eastAsia="黑体"/>
              <w:bCs/>
              <w:szCs w:val="21"/>
              <w:lang w:val="zh-CN"/>
            </w:rPr>
            <w:fldChar w:fldCharType="separate"/>
          </w:r>
          <w:r>
            <w:rPr>
              <w:rFonts w:hint="eastAsia" w:asciiTheme="minorEastAsia" w:hAnsiTheme="minorEastAsia"/>
              <w:szCs w:val="24"/>
            </w:rPr>
            <w:t>附件5-2：《印章使用登记表》</w:t>
          </w:r>
          <w:r>
            <w:tab/>
          </w:r>
          <w:r>
            <w:fldChar w:fldCharType="begin"/>
          </w:r>
          <w:r>
            <w:instrText xml:space="preserve"> PAGEREF _Toc10855 \h </w:instrText>
          </w:r>
          <w:r>
            <w:fldChar w:fldCharType="separate"/>
          </w:r>
          <w:r>
            <w:t>101</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_Toc30826 </w:instrText>
          </w:r>
          <w:r>
            <w:rPr>
              <w:rFonts w:ascii="黑体" w:hAnsi="黑体" w:eastAsia="黑体"/>
              <w:bCs/>
              <w:szCs w:val="21"/>
              <w:lang w:val="zh-CN"/>
            </w:rPr>
            <w:fldChar w:fldCharType="separate"/>
          </w:r>
          <w:r>
            <w:rPr>
              <w:rFonts w:hint="eastAsia" w:asciiTheme="minorEastAsia" w:hAnsiTheme="minorEastAsia"/>
              <w:szCs w:val="24"/>
            </w:rPr>
            <w:t>附件5-3：《印章外借登记表》</w:t>
          </w:r>
          <w:r>
            <w:tab/>
          </w:r>
          <w:r>
            <w:fldChar w:fldCharType="begin"/>
          </w:r>
          <w:r>
            <w:instrText xml:space="preserve"> PAGEREF _Toc30826 \h </w:instrText>
          </w:r>
          <w:r>
            <w:fldChar w:fldCharType="separate"/>
          </w:r>
          <w:r>
            <w:t>102</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_Toc24751 </w:instrText>
          </w:r>
          <w:r>
            <w:rPr>
              <w:rFonts w:ascii="黑体" w:hAnsi="黑体" w:eastAsia="黑体"/>
              <w:bCs/>
              <w:szCs w:val="21"/>
              <w:lang w:val="zh-CN"/>
            </w:rPr>
            <w:fldChar w:fldCharType="separate"/>
          </w:r>
          <w:r>
            <w:rPr>
              <w:rFonts w:hint="eastAsia" w:asciiTheme="minorEastAsia" w:hAnsiTheme="minorEastAsia"/>
              <w:szCs w:val="24"/>
            </w:rPr>
            <w:t>附件5-4：《印章保管人员备案表》</w:t>
          </w:r>
          <w:r>
            <w:tab/>
          </w:r>
          <w:r>
            <w:fldChar w:fldCharType="begin"/>
          </w:r>
          <w:r>
            <w:instrText xml:space="preserve"> PAGEREF _Toc24751 \h </w:instrText>
          </w:r>
          <w:r>
            <w:fldChar w:fldCharType="separate"/>
          </w:r>
          <w:r>
            <w:t>102</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_Toc21539 </w:instrText>
          </w:r>
          <w:r>
            <w:rPr>
              <w:rFonts w:ascii="黑体" w:hAnsi="黑体" w:eastAsia="黑体"/>
              <w:bCs/>
              <w:szCs w:val="21"/>
              <w:lang w:val="zh-CN"/>
            </w:rPr>
            <w:fldChar w:fldCharType="separate"/>
          </w:r>
          <w:r>
            <w:rPr>
              <w:rFonts w:hint="eastAsia" w:asciiTheme="minorEastAsia" w:hAnsiTheme="minorEastAsia"/>
              <w:szCs w:val="24"/>
            </w:rPr>
            <w:t>附件6-1：《采购申请表》</w:t>
          </w:r>
          <w:r>
            <w:tab/>
          </w:r>
          <w:r>
            <w:fldChar w:fldCharType="begin"/>
          </w:r>
          <w:r>
            <w:instrText xml:space="preserve"> PAGEREF _Toc21539 \h </w:instrText>
          </w:r>
          <w:r>
            <w:fldChar w:fldCharType="separate"/>
          </w:r>
          <w:r>
            <w:t>102</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_Toc19311 </w:instrText>
          </w:r>
          <w:r>
            <w:rPr>
              <w:rFonts w:ascii="黑体" w:hAnsi="黑体" w:eastAsia="黑体"/>
              <w:bCs/>
              <w:szCs w:val="21"/>
              <w:lang w:val="zh-CN"/>
            </w:rPr>
            <w:fldChar w:fldCharType="separate"/>
          </w:r>
          <w:r>
            <w:rPr>
              <w:rFonts w:hint="eastAsia" w:asciiTheme="minorEastAsia" w:hAnsiTheme="minorEastAsia"/>
              <w:szCs w:val="24"/>
            </w:rPr>
            <w:t>附件7-1：《固定资产档案》</w:t>
          </w:r>
          <w:r>
            <w:tab/>
          </w:r>
          <w:r>
            <w:fldChar w:fldCharType="begin"/>
          </w:r>
          <w:r>
            <w:instrText xml:space="preserve"> PAGEREF _Toc19311 \h </w:instrText>
          </w:r>
          <w:r>
            <w:fldChar w:fldCharType="separate"/>
          </w:r>
          <w:r>
            <w:t>103</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_Toc11587 </w:instrText>
          </w:r>
          <w:r>
            <w:rPr>
              <w:rFonts w:ascii="黑体" w:hAnsi="黑体" w:eastAsia="黑体"/>
              <w:bCs/>
              <w:szCs w:val="21"/>
              <w:lang w:val="zh-CN"/>
            </w:rPr>
            <w:fldChar w:fldCharType="separate"/>
          </w:r>
          <w:r>
            <w:rPr>
              <w:rFonts w:hint="eastAsia" w:asciiTheme="minorEastAsia" w:hAnsiTheme="minorEastAsia"/>
              <w:szCs w:val="24"/>
            </w:rPr>
            <w:t>附件7-2：《固定资产转移申请单》</w:t>
          </w:r>
          <w:r>
            <w:tab/>
          </w:r>
          <w:r>
            <w:fldChar w:fldCharType="begin"/>
          </w:r>
          <w:r>
            <w:instrText xml:space="preserve"> PAGEREF _Toc11587 \h </w:instrText>
          </w:r>
          <w:r>
            <w:fldChar w:fldCharType="separate"/>
          </w:r>
          <w:r>
            <w:t>104</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_Toc14988 </w:instrText>
          </w:r>
          <w:r>
            <w:rPr>
              <w:rFonts w:ascii="黑体" w:hAnsi="黑体" w:eastAsia="黑体"/>
              <w:bCs/>
              <w:szCs w:val="21"/>
              <w:lang w:val="zh-CN"/>
            </w:rPr>
            <w:fldChar w:fldCharType="separate"/>
          </w:r>
          <w:r>
            <w:rPr>
              <w:rFonts w:hint="eastAsia" w:asciiTheme="minorEastAsia" w:hAnsiTheme="minorEastAsia"/>
              <w:szCs w:val="24"/>
            </w:rPr>
            <w:t>附件7-3：《固定资产报废申请单》</w:t>
          </w:r>
          <w:r>
            <w:tab/>
          </w:r>
          <w:r>
            <w:fldChar w:fldCharType="begin"/>
          </w:r>
          <w:r>
            <w:instrText xml:space="preserve"> PAGEREF _Toc14988 \h </w:instrText>
          </w:r>
          <w:r>
            <w:fldChar w:fldCharType="separate"/>
          </w:r>
          <w:r>
            <w:t>104</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_Toc7321 </w:instrText>
          </w:r>
          <w:r>
            <w:rPr>
              <w:rFonts w:ascii="黑体" w:hAnsi="黑体" w:eastAsia="黑体"/>
              <w:bCs/>
              <w:szCs w:val="21"/>
              <w:lang w:val="zh-CN"/>
            </w:rPr>
            <w:fldChar w:fldCharType="separate"/>
          </w:r>
          <w:r>
            <w:rPr>
              <w:rFonts w:hint="eastAsia" w:asciiTheme="minorEastAsia" w:hAnsiTheme="minorEastAsia"/>
              <w:szCs w:val="24"/>
            </w:rPr>
            <w:t>附件9-1：《会议纪要表》</w:t>
          </w:r>
          <w:r>
            <w:tab/>
          </w:r>
          <w:r>
            <w:fldChar w:fldCharType="begin"/>
          </w:r>
          <w:r>
            <w:instrText xml:space="preserve"> PAGEREF _Toc7321 \h </w:instrText>
          </w:r>
          <w:r>
            <w:fldChar w:fldCharType="separate"/>
          </w:r>
          <w:r>
            <w:t>106</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_Toc12842 </w:instrText>
          </w:r>
          <w:r>
            <w:rPr>
              <w:rFonts w:ascii="黑体" w:hAnsi="黑体" w:eastAsia="黑体"/>
              <w:bCs/>
              <w:szCs w:val="21"/>
              <w:lang w:val="zh-CN"/>
            </w:rPr>
            <w:fldChar w:fldCharType="separate"/>
          </w:r>
          <w:r>
            <w:rPr>
              <w:rFonts w:hint="eastAsia" w:asciiTheme="minorEastAsia" w:hAnsiTheme="minorEastAsia"/>
              <w:szCs w:val="24"/>
            </w:rPr>
            <w:t>附件10-1：《出差申请表》</w:t>
          </w:r>
          <w:r>
            <w:tab/>
          </w:r>
          <w:r>
            <w:fldChar w:fldCharType="begin"/>
          </w:r>
          <w:r>
            <w:instrText xml:space="preserve"> PAGEREF _Toc12842 \h </w:instrText>
          </w:r>
          <w:r>
            <w:fldChar w:fldCharType="separate"/>
          </w:r>
          <w:r>
            <w:t>106</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_Toc29179 </w:instrText>
          </w:r>
          <w:r>
            <w:rPr>
              <w:rFonts w:ascii="黑体" w:hAnsi="黑体" w:eastAsia="黑体"/>
              <w:bCs/>
              <w:szCs w:val="21"/>
              <w:lang w:val="zh-CN"/>
            </w:rPr>
            <w:fldChar w:fldCharType="separate"/>
          </w:r>
          <w:r>
            <w:rPr>
              <w:rFonts w:hint="eastAsia" w:asciiTheme="minorEastAsia" w:hAnsiTheme="minorEastAsia"/>
              <w:szCs w:val="24"/>
            </w:rPr>
            <w:t>附件10-2：《出差/活动参与总结报告》</w:t>
          </w:r>
          <w:r>
            <w:tab/>
          </w:r>
          <w:r>
            <w:fldChar w:fldCharType="begin"/>
          </w:r>
          <w:r>
            <w:instrText xml:space="preserve"> PAGEREF _Toc29179 \h </w:instrText>
          </w:r>
          <w:r>
            <w:fldChar w:fldCharType="separate"/>
          </w:r>
          <w:r>
            <w:t>107</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_Toc21993 </w:instrText>
          </w:r>
          <w:r>
            <w:rPr>
              <w:rFonts w:ascii="黑体" w:hAnsi="黑体" w:eastAsia="黑体"/>
              <w:bCs/>
              <w:szCs w:val="21"/>
              <w:lang w:val="zh-CN"/>
            </w:rPr>
            <w:fldChar w:fldCharType="separate"/>
          </w:r>
          <w:r>
            <w:rPr>
              <w:rFonts w:hint="eastAsia" w:asciiTheme="minorEastAsia" w:hAnsiTheme="minorEastAsia"/>
              <w:szCs w:val="24"/>
            </w:rPr>
            <w:t>附件11-1：《办公用品清单》</w:t>
          </w:r>
          <w:r>
            <w:tab/>
          </w:r>
          <w:r>
            <w:fldChar w:fldCharType="begin"/>
          </w:r>
          <w:r>
            <w:instrText xml:space="preserve"> PAGEREF _Toc21993 \h </w:instrText>
          </w:r>
          <w:r>
            <w:fldChar w:fldCharType="separate"/>
          </w:r>
          <w:r>
            <w:t>109</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_Toc4392 </w:instrText>
          </w:r>
          <w:r>
            <w:rPr>
              <w:rFonts w:ascii="黑体" w:hAnsi="黑体" w:eastAsia="黑体"/>
              <w:bCs/>
              <w:szCs w:val="21"/>
              <w:lang w:val="zh-CN"/>
            </w:rPr>
            <w:fldChar w:fldCharType="separate"/>
          </w:r>
          <w:r>
            <w:rPr>
              <w:rFonts w:hint="eastAsia" w:asciiTheme="minorEastAsia" w:hAnsiTheme="minorEastAsia"/>
              <w:szCs w:val="24"/>
            </w:rPr>
            <w:t>附件11-2：《办公用品领取登记表》</w:t>
          </w:r>
          <w:r>
            <w:tab/>
          </w:r>
          <w:r>
            <w:fldChar w:fldCharType="begin"/>
          </w:r>
          <w:r>
            <w:instrText xml:space="preserve"> PAGEREF _Toc4392 \h </w:instrText>
          </w:r>
          <w:r>
            <w:fldChar w:fldCharType="separate"/>
          </w:r>
          <w:r>
            <w:t>110</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_Toc30404 </w:instrText>
          </w:r>
          <w:r>
            <w:rPr>
              <w:rFonts w:ascii="黑体" w:hAnsi="黑体" w:eastAsia="黑体"/>
              <w:bCs/>
              <w:szCs w:val="21"/>
              <w:lang w:val="zh-CN"/>
            </w:rPr>
            <w:fldChar w:fldCharType="separate"/>
          </w:r>
          <w:r>
            <w:rPr>
              <w:rFonts w:hint="eastAsia" w:asciiTheme="minorEastAsia" w:hAnsiTheme="minorEastAsia"/>
              <w:szCs w:val="24"/>
            </w:rPr>
            <w:t>附件11-3：《办公用品交接登记表》</w:t>
          </w:r>
          <w:r>
            <w:tab/>
          </w:r>
          <w:r>
            <w:fldChar w:fldCharType="begin"/>
          </w:r>
          <w:r>
            <w:instrText xml:space="preserve"> PAGEREF _Toc30404 \h </w:instrText>
          </w:r>
          <w:r>
            <w:fldChar w:fldCharType="separate"/>
          </w:r>
          <w:r>
            <w:t>110</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_Toc23194 </w:instrText>
          </w:r>
          <w:r>
            <w:rPr>
              <w:rFonts w:ascii="黑体" w:hAnsi="黑体" w:eastAsia="黑体"/>
              <w:bCs/>
              <w:szCs w:val="21"/>
              <w:lang w:val="zh-CN"/>
            </w:rPr>
            <w:fldChar w:fldCharType="separate"/>
          </w:r>
          <w:r>
            <w:rPr>
              <w:rFonts w:hint="eastAsia" w:asciiTheme="minorEastAsia" w:hAnsiTheme="minorEastAsia"/>
              <w:szCs w:val="24"/>
            </w:rPr>
            <w:t>附件12-1：《协议签署登记表》</w:t>
          </w:r>
          <w:r>
            <w:tab/>
          </w:r>
          <w:r>
            <w:fldChar w:fldCharType="begin"/>
          </w:r>
          <w:r>
            <w:instrText xml:space="preserve"> PAGEREF _Toc23194 \h </w:instrText>
          </w:r>
          <w:r>
            <w:fldChar w:fldCharType="separate"/>
          </w:r>
          <w:r>
            <w:t>111</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_Toc8454 </w:instrText>
          </w:r>
          <w:r>
            <w:rPr>
              <w:rFonts w:ascii="黑体" w:hAnsi="黑体" w:eastAsia="黑体"/>
              <w:bCs/>
              <w:szCs w:val="21"/>
              <w:lang w:val="zh-CN"/>
            </w:rPr>
            <w:fldChar w:fldCharType="separate"/>
          </w:r>
          <w:r>
            <w:rPr>
              <w:rFonts w:hint="eastAsia" w:asciiTheme="minorEastAsia" w:hAnsiTheme="minorEastAsia"/>
              <w:szCs w:val="24"/>
            </w:rPr>
            <w:t>附件12-2：《一般文本档案管理目录》</w:t>
          </w:r>
          <w:r>
            <w:tab/>
          </w:r>
          <w:r>
            <w:fldChar w:fldCharType="begin"/>
          </w:r>
          <w:r>
            <w:instrText xml:space="preserve"> PAGEREF _Toc8454 \h </w:instrText>
          </w:r>
          <w:r>
            <w:fldChar w:fldCharType="separate"/>
          </w:r>
          <w:r>
            <w:t>112</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_Toc10280 </w:instrText>
          </w:r>
          <w:r>
            <w:rPr>
              <w:rFonts w:ascii="黑体" w:hAnsi="黑体" w:eastAsia="黑体"/>
              <w:bCs/>
              <w:szCs w:val="21"/>
              <w:lang w:val="zh-CN"/>
            </w:rPr>
            <w:fldChar w:fldCharType="separate"/>
          </w:r>
          <w:r>
            <w:rPr>
              <w:rFonts w:hint="eastAsia" w:asciiTheme="minorEastAsia" w:hAnsiTheme="minorEastAsia"/>
              <w:szCs w:val="24"/>
            </w:rPr>
            <w:t>附件12-3：《核心文本档案管理目录》</w:t>
          </w:r>
          <w:r>
            <w:tab/>
          </w:r>
          <w:r>
            <w:fldChar w:fldCharType="begin"/>
          </w:r>
          <w:r>
            <w:instrText xml:space="preserve"> PAGEREF _Toc10280 \h </w:instrText>
          </w:r>
          <w:r>
            <w:fldChar w:fldCharType="separate"/>
          </w:r>
          <w:r>
            <w:t>113</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_Toc13059 </w:instrText>
          </w:r>
          <w:r>
            <w:rPr>
              <w:rFonts w:ascii="黑体" w:hAnsi="黑体" w:eastAsia="黑体"/>
              <w:bCs/>
              <w:szCs w:val="21"/>
              <w:lang w:val="zh-CN"/>
            </w:rPr>
            <w:fldChar w:fldCharType="separate"/>
          </w:r>
          <w:r>
            <w:rPr>
              <w:rFonts w:hint="eastAsia" w:asciiTheme="minorEastAsia" w:hAnsiTheme="minorEastAsia"/>
              <w:szCs w:val="24"/>
            </w:rPr>
            <w:t>附件12-4：《一般电子档案管理目录》</w:t>
          </w:r>
          <w:r>
            <w:tab/>
          </w:r>
          <w:r>
            <w:fldChar w:fldCharType="begin"/>
          </w:r>
          <w:r>
            <w:instrText xml:space="preserve"> PAGEREF _Toc13059 \h </w:instrText>
          </w:r>
          <w:r>
            <w:fldChar w:fldCharType="separate"/>
          </w:r>
          <w:r>
            <w:t>114</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_Toc25440 </w:instrText>
          </w:r>
          <w:r>
            <w:rPr>
              <w:rFonts w:ascii="黑体" w:hAnsi="黑体" w:eastAsia="黑体"/>
              <w:bCs/>
              <w:szCs w:val="21"/>
              <w:lang w:val="zh-CN"/>
            </w:rPr>
            <w:fldChar w:fldCharType="separate"/>
          </w:r>
          <w:r>
            <w:rPr>
              <w:rFonts w:hint="eastAsia" w:asciiTheme="minorEastAsia" w:hAnsiTheme="minorEastAsia"/>
              <w:szCs w:val="24"/>
            </w:rPr>
            <w:t>附件12-5：《核心电子档案管理目录》</w:t>
          </w:r>
          <w:r>
            <w:tab/>
          </w:r>
          <w:r>
            <w:fldChar w:fldCharType="begin"/>
          </w:r>
          <w:r>
            <w:instrText xml:space="preserve"> PAGEREF _Toc25440 \h </w:instrText>
          </w:r>
          <w:r>
            <w:fldChar w:fldCharType="separate"/>
          </w:r>
          <w:r>
            <w:t>115</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_Toc2671 </w:instrText>
          </w:r>
          <w:r>
            <w:rPr>
              <w:rFonts w:ascii="黑体" w:hAnsi="黑体" w:eastAsia="黑体"/>
              <w:bCs/>
              <w:szCs w:val="21"/>
              <w:lang w:val="zh-CN"/>
            </w:rPr>
            <w:fldChar w:fldCharType="separate"/>
          </w:r>
          <w:r>
            <w:rPr>
              <w:rFonts w:hint="eastAsia" w:asciiTheme="minorEastAsia" w:hAnsiTheme="minorEastAsia"/>
              <w:szCs w:val="24"/>
            </w:rPr>
            <w:t>附件12-6：《档案借阅登记表》</w:t>
          </w:r>
          <w:r>
            <w:tab/>
          </w:r>
          <w:r>
            <w:fldChar w:fldCharType="begin"/>
          </w:r>
          <w:r>
            <w:instrText xml:space="preserve"> PAGEREF _Toc2671 \h </w:instrText>
          </w:r>
          <w:r>
            <w:fldChar w:fldCharType="separate"/>
          </w:r>
          <w:r>
            <w:t>116</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_Toc11263 </w:instrText>
          </w:r>
          <w:r>
            <w:rPr>
              <w:rFonts w:ascii="黑体" w:hAnsi="黑体" w:eastAsia="黑体"/>
              <w:bCs/>
              <w:szCs w:val="21"/>
              <w:lang w:val="zh-CN"/>
            </w:rPr>
            <w:fldChar w:fldCharType="separate"/>
          </w:r>
          <w:r>
            <w:rPr>
              <w:rFonts w:hint="eastAsia" w:asciiTheme="minorEastAsia" w:hAnsiTheme="minorEastAsia"/>
              <w:szCs w:val="24"/>
            </w:rPr>
            <w:t>附件12-7：《档案销毁目录》</w:t>
          </w:r>
          <w:r>
            <w:tab/>
          </w:r>
          <w:r>
            <w:fldChar w:fldCharType="begin"/>
          </w:r>
          <w:r>
            <w:instrText xml:space="preserve"> PAGEREF _Toc11263 \h </w:instrText>
          </w:r>
          <w:r>
            <w:fldChar w:fldCharType="separate"/>
          </w:r>
          <w:r>
            <w:t>117</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_Toc1415 </w:instrText>
          </w:r>
          <w:r>
            <w:rPr>
              <w:rFonts w:ascii="黑体" w:hAnsi="黑体" w:eastAsia="黑体"/>
              <w:bCs/>
              <w:szCs w:val="21"/>
              <w:lang w:val="zh-CN"/>
            </w:rPr>
            <w:fldChar w:fldCharType="separate"/>
          </w:r>
          <w:r>
            <w:rPr>
              <w:rFonts w:hint="eastAsia" w:asciiTheme="minorEastAsia" w:hAnsiTheme="minorEastAsia"/>
              <w:szCs w:val="24"/>
            </w:rPr>
            <w:t>附件15-1：《会计档案保管期限表》</w:t>
          </w:r>
          <w:r>
            <w:tab/>
          </w:r>
          <w:r>
            <w:fldChar w:fldCharType="begin"/>
          </w:r>
          <w:r>
            <w:instrText xml:space="preserve"> PAGEREF _Toc1415 \h </w:instrText>
          </w:r>
          <w:r>
            <w:fldChar w:fldCharType="separate"/>
          </w:r>
          <w:r>
            <w:t>118</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_Toc30459 </w:instrText>
          </w:r>
          <w:r>
            <w:rPr>
              <w:rFonts w:ascii="黑体" w:hAnsi="黑体" w:eastAsia="黑体"/>
              <w:bCs/>
              <w:szCs w:val="21"/>
              <w:lang w:val="zh-CN"/>
            </w:rPr>
            <w:fldChar w:fldCharType="separate"/>
          </w:r>
          <w:r>
            <w:rPr>
              <w:rFonts w:hint="eastAsia" w:asciiTheme="minorEastAsia" w:hAnsiTheme="minorEastAsia"/>
              <w:szCs w:val="24"/>
            </w:rPr>
            <w:t>附件17-1：《员工入职登记表》</w:t>
          </w:r>
          <w:r>
            <w:tab/>
          </w:r>
          <w:r>
            <w:fldChar w:fldCharType="begin"/>
          </w:r>
          <w:r>
            <w:instrText xml:space="preserve"> PAGEREF _Toc30459 \h </w:instrText>
          </w:r>
          <w:r>
            <w:fldChar w:fldCharType="separate"/>
          </w:r>
          <w:r>
            <w:t>119</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_Toc15977 </w:instrText>
          </w:r>
          <w:r>
            <w:rPr>
              <w:rFonts w:ascii="黑体" w:hAnsi="黑体" w:eastAsia="黑体"/>
              <w:bCs/>
              <w:szCs w:val="21"/>
              <w:lang w:val="zh-CN"/>
            </w:rPr>
            <w:fldChar w:fldCharType="separate"/>
          </w:r>
          <w:r>
            <w:rPr>
              <w:rFonts w:hint="eastAsia" w:asciiTheme="minorEastAsia" w:hAnsiTheme="minorEastAsia"/>
              <w:szCs w:val="24"/>
            </w:rPr>
            <w:t>附件17-2：《员工转正考评面谈表》</w:t>
          </w:r>
          <w:r>
            <w:tab/>
          </w:r>
          <w:r>
            <w:fldChar w:fldCharType="begin"/>
          </w:r>
          <w:r>
            <w:instrText xml:space="preserve"> PAGEREF _Toc15977 \h </w:instrText>
          </w:r>
          <w:r>
            <w:fldChar w:fldCharType="separate"/>
          </w:r>
          <w:r>
            <w:t>121</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_Toc4849 </w:instrText>
          </w:r>
          <w:r>
            <w:rPr>
              <w:rFonts w:ascii="黑体" w:hAnsi="黑体" w:eastAsia="黑体"/>
              <w:bCs/>
              <w:szCs w:val="21"/>
              <w:lang w:val="zh-CN"/>
            </w:rPr>
            <w:fldChar w:fldCharType="separate"/>
          </w:r>
          <w:r>
            <w:rPr>
              <w:rFonts w:hint="eastAsia" w:asciiTheme="minorEastAsia" w:hAnsiTheme="minorEastAsia"/>
              <w:szCs w:val="24"/>
            </w:rPr>
            <w:t>附件17-3：《员工转正评价表（直属领导）》</w:t>
          </w:r>
          <w:r>
            <w:tab/>
          </w:r>
          <w:r>
            <w:fldChar w:fldCharType="begin"/>
          </w:r>
          <w:r>
            <w:instrText xml:space="preserve"> PAGEREF _Toc4849 \h </w:instrText>
          </w:r>
          <w:r>
            <w:fldChar w:fldCharType="separate"/>
          </w:r>
          <w:r>
            <w:t>122</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_Toc23120 </w:instrText>
          </w:r>
          <w:r>
            <w:rPr>
              <w:rFonts w:ascii="黑体" w:hAnsi="黑体" w:eastAsia="黑体"/>
              <w:bCs/>
              <w:szCs w:val="21"/>
              <w:lang w:val="zh-CN"/>
            </w:rPr>
            <w:fldChar w:fldCharType="separate"/>
          </w:r>
          <w:r>
            <w:rPr>
              <w:rFonts w:hint="eastAsia" w:asciiTheme="minorEastAsia" w:hAnsiTheme="minorEastAsia"/>
              <w:szCs w:val="24"/>
            </w:rPr>
            <w:t>附件17-4：《员工转正评价表（同事环评）》</w:t>
          </w:r>
          <w:r>
            <w:tab/>
          </w:r>
          <w:r>
            <w:fldChar w:fldCharType="begin"/>
          </w:r>
          <w:r>
            <w:instrText xml:space="preserve"> PAGEREF _Toc23120 \h </w:instrText>
          </w:r>
          <w:r>
            <w:fldChar w:fldCharType="separate"/>
          </w:r>
          <w:r>
            <w:t>125</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_Toc9469 </w:instrText>
          </w:r>
          <w:r>
            <w:rPr>
              <w:rFonts w:ascii="黑体" w:hAnsi="黑体" w:eastAsia="黑体"/>
              <w:bCs/>
              <w:szCs w:val="21"/>
              <w:lang w:val="zh-CN"/>
            </w:rPr>
            <w:fldChar w:fldCharType="separate"/>
          </w:r>
          <w:r>
            <w:rPr>
              <w:rFonts w:hint="eastAsia" w:asciiTheme="minorEastAsia" w:hAnsiTheme="minorEastAsia"/>
              <w:szCs w:val="24"/>
            </w:rPr>
            <w:t>附件17-5：《离职申请表》</w:t>
          </w:r>
          <w:r>
            <w:tab/>
          </w:r>
          <w:r>
            <w:fldChar w:fldCharType="begin"/>
          </w:r>
          <w:r>
            <w:instrText xml:space="preserve"> PAGEREF _Toc9469 \h </w:instrText>
          </w:r>
          <w:r>
            <w:fldChar w:fldCharType="separate"/>
          </w:r>
          <w:r>
            <w:t>126</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_Toc21391 </w:instrText>
          </w:r>
          <w:r>
            <w:rPr>
              <w:rFonts w:ascii="黑体" w:hAnsi="黑体" w:eastAsia="黑体"/>
              <w:bCs/>
              <w:szCs w:val="21"/>
              <w:lang w:val="zh-CN"/>
            </w:rPr>
            <w:fldChar w:fldCharType="separate"/>
          </w:r>
          <w:r>
            <w:rPr>
              <w:rFonts w:hint="eastAsia" w:asciiTheme="minorEastAsia" w:hAnsiTheme="minorEastAsia"/>
              <w:szCs w:val="24"/>
            </w:rPr>
            <w:t>附件17-6：《员工辞/离职交接表》</w:t>
          </w:r>
          <w:r>
            <w:tab/>
          </w:r>
          <w:r>
            <w:fldChar w:fldCharType="begin"/>
          </w:r>
          <w:r>
            <w:instrText xml:space="preserve"> PAGEREF _Toc21391 \h </w:instrText>
          </w:r>
          <w:r>
            <w:fldChar w:fldCharType="separate"/>
          </w:r>
          <w:r>
            <w:t>127</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_Toc2362 </w:instrText>
          </w:r>
          <w:r>
            <w:rPr>
              <w:rFonts w:ascii="黑体" w:hAnsi="黑体" w:eastAsia="黑体"/>
              <w:bCs/>
              <w:szCs w:val="21"/>
              <w:lang w:val="zh-CN"/>
            </w:rPr>
            <w:fldChar w:fldCharType="separate"/>
          </w:r>
          <w:r>
            <w:rPr>
              <w:rFonts w:hint="eastAsia" w:asciiTheme="minorEastAsia" w:hAnsiTheme="minorEastAsia"/>
              <w:szCs w:val="24"/>
            </w:rPr>
            <w:t>附件17-7：《员工离/辞职交接工作明细》</w:t>
          </w:r>
          <w:r>
            <w:tab/>
          </w:r>
          <w:r>
            <w:fldChar w:fldCharType="begin"/>
          </w:r>
          <w:r>
            <w:instrText xml:space="preserve"> PAGEREF _Toc2362 \h </w:instrText>
          </w:r>
          <w:r>
            <w:fldChar w:fldCharType="separate"/>
          </w:r>
          <w:r>
            <w:t>128</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_Toc7296 </w:instrText>
          </w:r>
          <w:r>
            <w:rPr>
              <w:rFonts w:ascii="黑体" w:hAnsi="黑体" w:eastAsia="黑体"/>
              <w:bCs/>
              <w:szCs w:val="21"/>
              <w:lang w:val="zh-CN"/>
            </w:rPr>
            <w:fldChar w:fldCharType="separate"/>
          </w:r>
          <w:r>
            <w:rPr>
              <w:rFonts w:hint="eastAsia" w:asciiTheme="minorEastAsia" w:hAnsiTheme="minorEastAsia"/>
              <w:szCs w:val="24"/>
            </w:rPr>
            <w:t>附件18-1:《培训申请表》</w:t>
          </w:r>
          <w:r>
            <w:tab/>
          </w:r>
          <w:r>
            <w:fldChar w:fldCharType="begin"/>
          </w:r>
          <w:r>
            <w:instrText xml:space="preserve"> PAGEREF _Toc7296 \h </w:instrText>
          </w:r>
          <w:r>
            <w:fldChar w:fldCharType="separate"/>
          </w:r>
          <w:r>
            <w:t>129</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_Toc7308 </w:instrText>
          </w:r>
          <w:r>
            <w:rPr>
              <w:rFonts w:ascii="黑体" w:hAnsi="黑体" w:eastAsia="黑体"/>
              <w:bCs/>
              <w:szCs w:val="21"/>
              <w:lang w:val="zh-CN"/>
            </w:rPr>
            <w:fldChar w:fldCharType="separate"/>
          </w:r>
          <w:r>
            <w:rPr>
              <w:rFonts w:hint="eastAsia" w:asciiTheme="minorEastAsia" w:hAnsiTheme="minorEastAsia"/>
              <w:szCs w:val="24"/>
            </w:rPr>
            <w:t>附件18-2：《培训总结表》</w:t>
          </w:r>
          <w:r>
            <w:tab/>
          </w:r>
          <w:r>
            <w:fldChar w:fldCharType="begin"/>
          </w:r>
          <w:r>
            <w:instrText xml:space="preserve"> PAGEREF _Toc7308 \h </w:instrText>
          </w:r>
          <w:r>
            <w:fldChar w:fldCharType="separate"/>
          </w:r>
          <w:r>
            <w:t>130</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_Toc10941 </w:instrText>
          </w:r>
          <w:r>
            <w:rPr>
              <w:rFonts w:ascii="黑体" w:hAnsi="黑体" w:eastAsia="黑体"/>
              <w:bCs/>
              <w:szCs w:val="21"/>
              <w:lang w:val="zh-CN"/>
            </w:rPr>
            <w:fldChar w:fldCharType="separate"/>
          </w:r>
          <w:r>
            <w:rPr>
              <w:rFonts w:hint="eastAsia" w:asciiTheme="minorEastAsia" w:hAnsiTheme="minorEastAsia"/>
              <w:szCs w:val="24"/>
            </w:rPr>
            <w:t>附件19-1：《用人申请表》</w:t>
          </w:r>
          <w:r>
            <w:tab/>
          </w:r>
          <w:r>
            <w:fldChar w:fldCharType="begin"/>
          </w:r>
          <w:r>
            <w:instrText xml:space="preserve"> PAGEREF _Toc10941 \h </w:instrText>
          </w:r>
          <w:r>
            <w:fldChar w:fldCharType="separate"/>
          </w:r>
          <w:r>
            <w:t>131</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_Toc24922 </w:instrText>
          </w:r>
          <w:r>
            <w:rPr>
              <w:rFonts w:ascii="黑体" w:hAnsi="黑体" w:eastAsia="黑体"/>
              <w:bCs/>
              <w:szCs w:val="21"/>
              <w:lang w:val="zh-CN"/>
            </w:rPr>
            <w:fldChar w:fldCharType="separate"/>
          </w:r>
          <w:r>
            <w:rPr>
              <w:rFonts w:hint="eastAsia" w:asciiTheme="minorEastAsia" w:hAnsiTheme="minorEastAsia"/>
              <w:szCs w:val="24"/>
            </w:rPr>
            <w:t>附件19-2：《面试评价表》</w:t>
          </w:r>
          <w:r>
            <w:tab/>
          </w:r>
          <w:r>
            <w:fldChar w:fldCharType="begin"/>
          </w:r>
          <w:r>
            <w:instrText xml:space="preserve"> PAGEREF _Toc24922 \h </w:instrText>
          </w:r>
          <w:r>
            <w:fldChar w:fldCharType="separate"/>
          </w:r>
          <w:r>
            <w:t>132</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_Toc13666 </w:instrText>
          </w:r>
          <w:r>
            <w:rPr>
              <w:rFonts w:ascii="黑体" w:hAnsi="黑体" w:eastAsia="黑体"/>
              <w:bCs/>
              <w:szCs w:val="21"/>
              <w:lang w:val="zh-CN"/>
            </w:rPr>
            <w:fldChar w:fldCharType="separate"/>
          </w:r>
          <w:r>
            <w:rPr>
              <w:rFonts w:hint="eastAsia" w:asciiTheme="minorEastAsia" w:hAnsiTheme="minorEastAsia"/>
              <w:szCs w:val="24"/>
            </w:rPr>
            <w:t>附件19-3：《面试评分表》</w:t>
          </w:r>
          <w:r>
            <w:tab/>
          </w:r>
          <w:r>
            <w:fldChar w:fldCharType="begin"/>
          </w:r>
          <w:r>
            <w:instrText xml:space="preserve"> PAGEREF _Toc13666 \h </w:instrText>
          </w:r>
          <w:r>
            <w:fldChar w:fldCharType="separate"/>
          </w:r>
          <w:r>
            <w:t>133</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_Toc16219 </w:instrText>
          </w:r>
          <w:r>
            <w:rPr>
              <w:rFonts w:ascii="黑体" w:hAnsi="黑体" w:eastAsia="黑体"/>
              <w:bCs/>
              <w:szCs w:val="21"/>
              <w:lang w:val="zh-CN"/>
            </w:rPr>
            <w:fldChar w:fldCharType="separate"/>
          </w:r>
          <w:r>
            <w:rPr>
              <w:rFonts w:hint="eastAsia" w:asciiTheme="minorEastAsia" w:hAnsiTheme="minorEastAsia"/>
              <w:szCs w:val="24"/>
            </w:rPr>
            <w:t>附件19-4：《录用通知书》</w:t>
          </w:r>
          <w:r>
            <w:tab/>
          </w:r>
          <w:r>
            <w:fldChar w:fldCharType="begin"/>
          </w:r>
          <w:r>
            <w:instrText xml:space="preserve"> PAGEREF _Toc16219 \h </w:instrText>
          </w:r>
          <w:r>
            <w:fldChar w:fldCharType="separate"/>
          </w:r>
          <w:r>
            <w:t>134</w:t>
          </w:r>
          <w:r>
            <w:fldChar w:fldCharType="end"/>
          </w:r>
          <w:r>
            <w:rPr>
              <w:rFonts w:ascii="黑体" w:hAnsi="黑体" w:eastAsia="黑体"/>
              <w:bCs/>
              <w:szCs w:val="21"/>
              <w:lang w:val="zh-CN"/>
            </w:rPr>
            <w:fldChar w:fldCharType="end"/>
          </w:r>
        </w:p>
        <w:p>
          <w:pPr>
            <w:pStyle w:val="7"/>
            <w:tabs>
              <w:tab w:val="right" w:leader="dot" w:pos="8405"/>
              <w:tab w:val="clear" w:pos="8296"/>
            </w:tabs>
          </w:pPr>
          <w:r>
            <w:rPr>
              <w:rFonts w:ascii="黑体" w:hAnsi="黑体" w:eastAsia="黑体"/>
              <w:bCs/>
              <w:szCs w:val="21"/>
              <w:lang w:val="zh-CN"/>
            </w:rPr>
            <w:fldChar w:fldCharType="begin"/>
          </w:r>
          <w:r>
            <w:rPr>
              <w:rFonts w:ascii="黑体" w:hAnsi="黑体" w:eastAsia="黑体"/>
              <w:bCs/>
              <w:szCs w:val="21"/>
              <w:lang w:val="zh-CN"/>
            </w:rPr>
            <w:instrText xml:space="preserve"> HYPERLINK \l _Toc1581 </w:instrText>
          </w:r>
          <w:r>
            <w:rPr>
              <w:rFonts w:ascii="黑体" w:hAnsi="黑体" w:eastAsia="黑体"/>
              <w:bCs/>
              <w:szCs w:val="21"/>
              <w:lang w:val="zh-CN"/>
            </w:rPr>
            <w:fldChar w:fldCharType="separate"/>
          </w:r>
          <w:r>
            <w:rPr>
              <w:rFonts w:hint="eastAsia" w:asciiTheme="minorEastAsia" w:hAnsiTheme="minorEastAsia"/>
              <w:szCs w:val="24"/>
            </w:rPr>
            <w:t>附件22-1：《请假申请单》</w:t>
          </w:r>
          <w:r>
            <w:tab/>
          </w:r>
          <w:r>
            <w:fldChar w:fldCharType="begin"/>
          </w:r>
          <w:r>
            <w:instrText xml:space="preserve"> PAGEREF _Toc1581 \h </w:instrText>
          </w:r>
          <w:r>
            <w:fldChar w:fldCharType="separate"/>
          </w:r>
          <w:r>
            <w:t>135</w:t>
          </w:r>
          <w:r>
            <w:fldChar w:fldCharType="end"/>
          </w:r>
          <w:r>
            <w:rPr>
              <w:rFonts w:ascii="黑体" w:hAnsi="黑体" w:eastAsia="黑体"/>
              <w:bCs/>
              <w:szCs w:val="21"/>
              <w:lang w:val="zh-CN"/>
            </w:rPr>
            <w:fldChar w:fldCharType="end"/>
          </w:r>
        </w:p>
        <w:p>
          <w:pPr>
            <w:spacing w:line="360" w:lineRule="exact"/>
            <w:ind w:firstLine="420" w:firstLineChars="200"/>
            <w:rPr>
              <w:rFonts w:ascii="黑体" w:hAnsi="黑体" w:eastAsia="黑体"/>
            </w:rPr>
          </w:pPr>
          <w:r>
            <w:rPr>
              <w:rFonts w:ascii="黑体" w:hAnsi="黑体" w:eastAsia="黑体"/>
              <w:bCs/>
              <w:szCs w:val="21"/>
              <w:lang w:val="zh-CN"/>
            </w:rPr>
            <w:fldChar w:fldCharType="end"/>
          </w:r>
        </w:p>
      </w:sdtContent>
    </w:sdt>
    <w:p>
      <w:pPr>
        <w:spacing w:line="360" w:lineRule="auto"/>
        <w:rPr>
          <w:sz w:val="24"/>
          <w:szCs w:val="24"/>
        </w:rPr>
      </w:pPr>
    </w:p>
    <w:p>
      <w:pPr>
        <w:spacing w:before="156" w:beforeLines="50" w:after="156" w:afterLines="50" w:line="360" w:lineRule="auto"/>
        <w:jc w:val="center"/>
        <w:outlineLvl w:val="1"/>
        <w:rPr>
          <w:rFonts w:ascii="黑体" w:hAnsi="黑体" w:eastAsia="黑体"/>
          <w:b/>
          <w:sz w:val="32"/>
          <w:szCs w:val="32"/>
        </w:rPr>
      </w:pPr>
      <w:bookmarkStart w:id="0" w:name="_Toc24925"/>
      <w:bookmarkStart w:id="1" w:name="_Toc403829174"/>
      <w:r>
        <w:rPr>
          <w:rFonts w:hint="eastAsia" w:ascii="黑体" w:hAnsi="黑体" w:eastAsia="黑体"/>
          <w:b/>
          <w:sz w:val="32"/>
          <w:szCs w:val="32"/>
        </w:rPr>
        <w:t xml:space="preserve">一 </w:t>
      </w:r>
      <w:r>
        <w:rPr>
          <w:rFonts w:hint="eastAsia" w:ascii="黑体" w:hAnsi="黑体" w:eastAsia="黑体"/>
          <w:b/>
          <w:sz w:val="32"/>
          <w:szCs w:val="32"/>
          <w:lang w:eastAsia="zh-CN"/>
        </w:rPr>
        <w:t>北京天地文化发展</w:t>
      </w:r>
      <w:r>
        <w:rPr>
          <w:rFonts w:hint="eastAsia" w:ascii="黑体" w:hAnsi="黑体" w:eastAsia="黑体"/>
          <w:b/>
          <w:sz w:val="32"/>
          <w:szCs w:val="32"/>
        </w:rPr>
        <w:t>基金会项目管理制度</w:t>
      </w:r>
      <w:bookmarkEnd w:id="0"/>
      <w:bookmarkEnd w:id="1"/>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 总则</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为规范</w:t>
      </w:r>
      <w:r>
        <w:rPr>
          <w:rFonts w:hint="eastAsia" w:asciiTheme="minorEastAsia" w:hAnsiTheme="minorEastAsia"/>
          <w:sz w:val="24"/>
          <w:szCs w:val="24"/>
          <w:lang w:eastAsia="zh-CN"/>
        </w:rPr>
        <w:t>北京天地文化发展</w:t>
      </w:r>
      <w:r>
        <w:rPr>
          <w:rFonts w:hint="eastAsia" w:asciiTheme="minorEastAsia" w:hAnsiTheme="minorEastAsia"/>
          <w:sz w:val="24"/>
          <w:szCs w:val="24"/>
        </w:rPr>
        <w:t>基金会（以下简称“本基金会”）的项目开发与管理工作，确保项目开展过程管理的规范化与专业化，指导基金会资金的有效使用，保障项目的顺利有效实施，特制定本管理制度。</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2．项目资助标准</w:t>
      </w:r>
    </w:p>
    <w:p>
      <w:pPr>
        <w:widowControl/>
        <w:kinsoku w:val="0"/>
        <w:spacing w:line="360" w:lineRule="auto"/>
        <w:jc w:val="left"/>
        <w:textAlignment w:val="baseline"/>
        <w:rPr>
          <w:rFonts w:asciiTheme="minorEastAsia" w:hAnsiTheme="minorEastAsia"/>
          <w:sz w:val="24"/>
          <w:szCs w:val="24"/>
        </w:rPr>
      </w:pPr>
      <w:r>
        <w:rPr>
          <w:rFonts w:hint="eastAsia" w:asciiTheme="minorEastAsia" w:hAnsiTheme="minorEastAsia"/>
          <w:sz w:val="24"/>
          <w:szCs w:val="24"/>
        </w:rPr>
        <w:t>资助的项目应以需求为起点，以价值为核心：</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1</w:t>
      </w:r>
      <w:r>
        <w:rPr>
          <w:rFonts w:hint="eastAsia" w:asciiTheme="minorEastAsia" w:hAnsiTheme="minorEastAsia"/>
          <w:sz w:val="24"/>
          <w:szCs w:val="24"/>
          <w:lang w:val="en-US" w:eastAsia="zh-CN"/>
        </w:rPr>
        <w:t>符合业务范围内的具有</w:t>
      </w:r>
      <w:r>
        <w:rPr>
          <w:rFonts w:hint="eastAsia" w:asciiTheme="minorEastAsia" w:hAnsiTheme="minorEastAsia"/>
          <w:sz w:val="24"/>
          <w:szCs w:val="24"/>
        </w:rPr>
        <w:t>紧迫性、前瞻性、重要性</w:t>
      </w:r>
      <w:r>
        <w:rPr>
          <w:rFonts w:hint="eastAsia" w:asciiTheme="minorEastAsia" w:hAnsiTheme="minorEastAsia"/>
          <w:sz w:val="24"/>
          <w:szCs w:val="24"/>
          <w:lang w:val="en-US" w:eastAsia="zh-CN"/>
        </w:rPr>
        <w:t>的项目</w:t>
      </w:r>
      <w:r>
        <w:rPr>
          <w:rFonts w:hint="eastAsia" w:asciiTheme="minorEastAsia" w:hAnsiTheme="minorEastAsia"/>
          <w:sz w:val="24"/>
          <w:szCs w:val="24"/>
        </w:rPr>
        <w:t>；</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2</w:t>
      </w:r>
      <w:r>
        <w:rPr>
          <w:rFonts w:hint="eastAsia" w:asciiTheme="minorEastAsia" w:hAnsiTheme="minorEastAsia"/>
          <w:sz w:val="24"/>
          <w:szCs w:val="24"/>
        </w:rPr>
        <w:t>执行过程的透明化、规范化、网络化；</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3</w:t>
      </w:r>
      <w:r>
        <w:rPr>
          <w:rFonts w:hint="eastAsia" w:asciiTheme="minorEastAsia" w:hAnsiTheme="minorEastAsia"/>
          <w:sz w:val="24"/>
          <w:szCs w:val="24"/>
        </w:rPr>
        <w:t>执行结果的产品化、规模化、影响力、以及市场化的潜力；</w:t>
      </w:r>
    </w:p>
    <w:p>
      <w:pPr>
        <w:spacing w:line="360" w:lineRule="auto"/>
        <w:ind w:firstLine="480" w:firstLineChars="200"/>
        <w:rPr>
          <w:rFonts w:hint="eastAsia" w:asciiTheme="minorEastAsia" w:hAnsiTheme="minorEastAsia" w:eastAsiaTheme="minorEastAsia"/>
          <w:sz w:val="24"/>
          <w:szCs w:val="24"/>
          <w:lang w:eastAsia="zh-CN"/>
        </w:rPr>
      </w:pPr>
      <w:r>
        <w:rPr>
          <w:rFonts w:hint="eastAsia" w:asciiTheme="minorEastAsia" w:hAnsiTheme="minorEastAsia"/>
          <w:sz w:val="24"/>
          <w:szCs w:val="24"/>
        </w:rPr>
        <w:t>2.</w:t>
      </w:r>
      <w:r>
        <w:rPr>
          <w:rFonts w:asciiTheme="minorEastAsia" w:hAnsiTheme="minorEastAsia"/>
          <w:sz w:val="24"/>
          <w:szCs w:val="24"/>
        </w:rPr>
        <w:t>4</w:t>
      </w:r>
      <w:r>
        <w:rPr>
          <w:rFonts w:hint="eastAsia" w:asciiTheme="minorEastAsia" w:hAnsiTheme="minorEastAsia"/>
          <w:sz w:val="24"/>
          <w:szCs w:val="24"/>
        </w:rPr>
        <w:t>解决问题的创新性、有效性、可持续性</w:t>
      </w:r>
      <w:r>
        <w:rPr>
          <w:rFonts w:hint="eastAsia" w:asciiTheme="minorEastAsia" w:hAnsiTheme="minorEastAsia"/>
          <w:sz w:val="24"/>
          <w:szCs w:val="24"/>
          <w:lang w:eastAsia="zh-CN"/>
        </w:rPr>
        <w:t>。</w:t>
      </w:r>
    </w:p>
    <w:p>
      <w:pPr>
        <w:spacing w:line="360" w:lineRule="auto"/>
        <w:ind w:firstLine="480" w:firstLineChars="200"/>
        <w:rPr>
          <w:rFonts w:ascii="微软雅黑" w:hAnsi="微软雅黑" w:eastAsia="微软雅黑"/>
          <w:b/>
          <w:sz w:val="24"/>
          <w:szCs w:val="24"/>
        </w:rPr>
      </w:pPr>
      <w:r>
        <w:rPr>
          <w:rFonts w:ascii="微软雅黑" w:hAnsi="微软雅黑" w:eastAsia="微软雅黑"/>
          <w:b/>
          <w:sz w:val="24"/>
          <w:szCs w:val="24"/>
        </w:rPr>
        <w:t>3</w:t>
      </w:r>
      <w:r>
        <w:rPr>
          <w:rFonts w:hint="eastAsia" w:ascii="微软雅黑" w:hAnsi="微软雅黑" w:eastAsia="微软雅黑"/>
          <w:b/>
          <w:sz w:val="24"/>
          <w:szCs w:val="24"/>
        </w:rPr>
        <w:t>. 项目管理原则</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.1目标明确：每个项目有明确的目标，并且在项目执行管理过程中不偏离这些目标；</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.2设计清晰：每个项目对项目活动、开展计划、产出成果等都有具体清晰的描述；</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.3过程可控：项目执行按计划进行，允许项目进度在适度和可控范围内进行调整；</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.4评估有效：项目目标成果可以被衡量与评估，且评估结果能为项目及机构未来的调整、发展提供参考性意见；</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.5 信息公开：项目执行过程中，通过机构硬盘以及网络共享项目信息及文件，用于内部信息公开</w:t>
      </w:r>
      <w:r>
        <w:rPr>
          <w:rFonts w:hint="eastAsia" w:asciiTheme="minorEastAsia" w:hAnsiTheme="minorEastAsia"/>
          <w:sz w:val="24"/>
          <w:szCs w:val="24"/>
          <w:lang w:eastAsia="zh-CN"/>
        </w:rPr>
        <w:t>，</w:t>
      </w:r>
      <w:r>
        <w:rPr>
          <w:rFonts w:hint="eastAsia" w:asciiTheme="minorEastAsia" w:hAnsiTheme="minorEastAsia"/>
          <w:sz w:val="24"/>
          <w:szCs w:val="24"/>
        </w:rPr>
        <w:t>并且同时通过网站、简报以及微信等方式，对外公开项目信息；</w:t>
      </w:r>
    </w:p>
    <w:p>
      <w:pPr>
        <w:spacing w:line="360" w:lineRule="auto"/>
        <w:ind w:firstLine="480" w:firstLineChars="200"/>
        <w:rPr>
          <w:rFonts w:hint="eastAsia"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.6参与其中：基金会项目开展过程中，在不干涉项目伙伴及执行方的自主性的前提下，保持适度参与，提供必要协助和支持</w:t>
      </w:r>
      <w:r>
        <w:rPr>
          <w:rFonts w:hint="eastAsia"/>
        </w:rPr>
        <w:t>，</w:t>
      </w:r>
      <w:r>
        <w:rPr>
          <w:rFonts w:hint="eastAsia" w:asciiTheme="minorEastAsia" w:hAnsiTheme="minorEastAsia"/>
          <w:sz w:val="24"/>
          <w:szCs w:val="24"/>
        </w:rPr>
        <w:t>保证项目目标的实现；</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.7关系和谐：项目合作各方本着互相尊重、积极沟通的原则，建立保持和谐伙伴关系。</w:t>
      </w:r>
    </w:p>
    <w:p>
      <w:pPr>
        <w:spacing w:line="360" w:lineRule="auto"/>
        <w:ind w:firstLine="480" w:firstLineChars="200"/>
        <w:rPr>
          <w:rFonts w:ascii="微软雅黑" w:hAnsi="微软雅黑" w:eastAsia="微软雅黑"/>
          <w:b/>
          <w:sz w:val="24"/>
          <w:szCs w:val="24"/>
        </w:rPr>
      </w:pPr>
      <w:r>
        <w:rPr>
          <w:rFonts w:ascii="微软雅黑" w:hAnsi="微软雅黑" w:eastAsia="微软雅黑"/>
          <w:b/>
          <w:sz w:val="24"/>
          <w:szCs w:val="24"/>
        </w:rPr>
        <w:t>4</w:t>
      </w:r>
      <w:r>
        <w:rPr>
          <w:rFonts w:hint="eastAsia" w:ascii="微软雅黑" w:hAnsi="微软雅黑" w:eastAsia="微软雅黑"/>
          <w:b/>
          <w:sz w:val="24"/>
          <w:szCs w:val="24"/>
        </w:rPr>
        <w:t>. 项目管理办法</w:t>
      </w:r>
    </w:p>
    <w:p>
      <w:pPr>
        <w:spacing w:line="360" w:lineRule="auto"/>
        <w:ind w:firstLine="482" w:firstLineChars="200"/>
        <w:rPr>
          <w:rFonts w:asciiTheme="minorEastAsia" w:hAnsiTheme="minorEastAsia"/>
          <w:b/>
          <w:sz w:val="24"/>
          <w:szCs w:val="24"/>
        </w:rPr>
      </w:pPr>
      <w:r>
        <w:rPr>
          <w:rFonts w:asciiTheme="minorEastAsia" w:hAnsiTheme="minorEastAsia"/>
          <w:b/>
          <w:sz w:val="24"/>
          <w:szCs w:val="24"/>
        </w:rPr>
        <w:t>4</w:t>
      </w:r>
      <w:r>
        <w:rPr>
          <w:rFonts w:hint="eastAsia" w:asciiTheme="minorEastAsia" w:hAnsiTheme="minorEastAsia"/>
          <w:b/>
          <w:sz w:val="24"/>
          <w:szCs w:val="24"/>
        </w:rPr>
        <w:t>.1 项目流程管理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项目流程包括六个阶段：</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4</w:t>
      </w:r>
      <w:r>
        <w:rPr>
          <w:rFonts w:hint="eastAsia" w:asciiTheme="minorEastAsia" w:hAnsiTheme="minorEastAsia"/>
          <w:sz w:val="24"/>
          <w:szCs w:val="24"/>
        </w:rPr>
        <w:t>.1.1意向洽谈阶段</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机构通过内外部推荐、主动接触以及伙伴申请等多种方式，了解并选择项目合作伙伴和潜在合作项目。</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4</w:t>
      </w:r>
      <w:r>
        <w:rPr>
          <w:rFonts w:hint="eastAsia" w:asciiTheme="minorEastAsia" w:hAnsiTheme="minorEastAsia"/>
          <w:sz w:val="24"/>
          <w:szCs w:val="24"/>
        </w:rPr>
        <w:t>.1.2审批立项阶段</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针对有意向合作的机构和项目，指导其完成项目立项报告的填写与提交，基金会对项目进行评审以及再完善，最后审批通过的项目批准立项。此阶段包括填写立项报告、项目评审、提交审批申请及批准立项四个环节。</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4</w:t>
      </w:r>
      <w:r>
        <w:rPr>
          <w:rFonts w:hint="eastAsia" w:asciiTheme="minorEastAsia" w:hAnsiTheme="minorEastAsia"/>
          <w:sz w:val="24"/>
          <w:szCs w:val="24"/>
        </w:rPr>
        <w:t>.1.3启动拨款阶段</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针对已经审批立项的项目，基金会与合作伙伴签订合作协议以及沟通机制备忘录，完成首笔项目资金的拨付，启动项目的进程管理。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4</w:t>
      </w:r>
      <w:r>
        <w:rPr>
          <w:rFonts w:hint="eastAsia" w:asciiTheme="minorEastAsia" w:hAnsiTheme="minorEastAsia"/>
          <w:sz w:val="24"/>
          <w:szCs w:val="24"/>
        </w:rPr>
        <w:t>.1.4实施监测阶段</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项目开始后，合作伙伴按照沟通机制定期向基金会汇报项目进展情况；同时，基金会项目负责人按照监测计划主动与合作伙伴保持沟通，给予反馈和指导。</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4</w:t>
      </w:r>
      <w:r>
        <w:rPr>
          <w:rFonts w:hint="eastAsia" w:asciiTheme="minorEastAsia" w:hAnsiTheme="minorEastAsia"/>
          <w:sz w:val="24"/>
          <w:szCs w:val="24"/>
        </w:rPr>
        <w:t>.1.5结项总结阶段</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项目结束后，合作伙伴向基金会递交结项报告，同时由基金会对项目进行财务审计与终期评估。</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4</w:t>
      </w:r>
      <w:r>
        <w:rPr>
          <w:rFonts w:hint="eastAsia" w:asciiTheme="minorEastAsia" w:hAnsiTheme="minorEastAsia"/>
          <w:sz w:val="24"/>
          <w:szCs w:val="24"/>
        </w:rPr>
        <w:t>.1.6项目后续阶段</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项目后续阶段的工作包括合作伙伴持续合作项目的开发、项目成效的传播等。</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4.2 项目信息公开</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基金会严格按照《中华人民共和国慈善法》、《基金会管理条例》、《慈善组织信息公开管理办法》规定以及《</w:t>
      </w:r>
      <w:r>
        <w:rPr>
          <w:rFonts w:hint="eastAsia" w:asciiTheme="minorEastAsia" w:hAnsiTheme="minorEastAsia"/>
          <w:sz w:val="24"/>
          <w:szCs w:val="24"/>
          <w:lang w:eastAsia="zh-CN"/>
        </w:rPr>
        <w:t>北京天地文化发展</w:t>
      </w:r>
      <w:r>
        <w:rPr>
          <w:rFonts w:hint="eastAsia" w:asciiTheme="minorEastAsia" w:hAnsiTheme="minorEastAsia"/>
          <w:sz w:val="24"/>
          <w:szCs w:val="24"/>
        </w:rPr>
        <w:t>基金会章程》要求，通过指定的慈善中国网站、其它相关网站、简报、宣传品等方式，向资助方、社会公众等公布项目执行及进展情况。</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4.2.1 项目信息公开是基金会信息公开的重要工作，基金会高度重视。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4.2.2 项目信息公开遵循全面、规范、透明的原则，项目从立项到结束的整个过程中的重要信息均需公示，需按照统一公示模板进行，尤其是具有社会价值和行业的项目信息需要及时公示。</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4.2.3 项目信息公开内容包括项目立项信息、项目实施过程信息、项目结项信息和项目成果信息四类。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4.2.4 项目信息公开的实施</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4.2.4.1项目信息统一由基金会项目负责人搜集整理并提供给基金会信息发布负责人。</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4.2.4.2每个项目负责人需按照要求及时公开所负责项目信息。</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4.2.4.3项目重大信息公示需由基金会理事长审核同意后实施。</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4.3 项目财务管理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基金会严格按照《中华人民共和国慈善法》、《基金会管理条例》以及基金会内部财务管理制度，对基金会财务工作进行管理。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4.3.1 项目需严格进行财务管理，包括审批项目立项预算严谨细致、项目支出过程全面跟进、项目结项进行专项财务审计、项目超支时需额外申请审批。</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4.3.2 项目分阶段拨款。一般而言项目都需要分批拨款，根据项目金额与实施时间确定拨款次数，在项目协议里予以明确，按进度拨款。</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4.3.3 项目财务资料需完整存档，包括项目预算和决算、项目各类票据复印件（加盖合作伙伴公章）、项目超支申请、项目审计报告等。</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4.3.4 定期进行项目支出的分析，基金会聘请专业人员对整体项目支出情况以及重大项目的支出进行定向分析，对于分析结论和反馈进行专题讨论，以不断提升项目财务管理的专业度。</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4.4 项目审计</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基金会严格按照《基金会管理条例》以及基金会内部财务管理制度，由基金会内部财务人员或者第三方审计机构，对合作伙伴项目进行专项财务审计。</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基金会根据需要，包括考虑项目金额、项目进展情况、项目影响力等因素，安排进行项目审计。项目审计结论将跟合作伙伴进行分享，并对外进行公示。对于审计中发现的问题，要求项目实施方定期改正。</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4.5项目档案管理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基金会根据《内部档案管理制度》对纸</w:t>
      </w:r>
      <w:r>
        <w:rPr>
          <w:rFonts w:hint="eastAsia" w:asciiTheme="minorEastAsia" w:hAnsiTheme="minorEastAsia"/>
          <w:sz w:val="24"/>
          <w:szCs w:val="24"/>
          <w:lang w:val="en-US" w:eastAsia="zh-CN"/>
        </w:rPr>
        <w:t>版</w:t>
      </w:r>
      <w:r>
        <w:rPr>
          <w:rFonts w:hint="eastAsia" w:asciiTheme="minorEastAsia" w:hAnsiTheme="minorEastAsia"/>
          <w:sz w:val="24"/>
          <w:szCs w:val="24"/>
        </w:rPr>
        <w:t xml:space="preserve">和电子版项目档案进行全面管理。 </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4.6 项目合作伙伴维护</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合作伙伴是基金会实现愿景及目标、实现社会价值和树立行业品牌的重要资源。因此合作伙伴关系的建立、维系以及发展是基金会日常工作的重要组成部分。合作伙伴关系是基金会为了某种特定的目标，与合作机构达成的一种合作关系。在合作过程中，分工协作，信息共享，实现风险共担，共同获利的长期关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4.6.1 合作原则</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在项目管理过程中，基金会与项目合作伙伴本着平等、尊重、信任、互利发展以及长远共建五个基本原则建立、维系与发展伙伴关系。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4.6.2 战略合作伙伴</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基金会与合作伙伴建立重要的战略关系，指在重要合作伙伴当中，基金会可以与其共享资源、共同研发项目并可长期合作，通过优势互补彼此相互学习与共同成长的合作伙伴。</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4.6.3 合作内容</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基金会除了一般性的资金支持，着重强调对合作伙伴的增值服务，本着互利发展和长远共建的基本原则，为合作伙伴提供包括但不限于资源对接、能力建设、发展指导等方面的服务。</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5．附则</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本制度由</w:t>
      </w:r>
      <w:r>
        <w:rPr>
          <w:rFonts w:hint="eastAsia" w:asciiTheme="minorEastAsia" w:hAnsiTheme="minorEastAsia"/>
          <w:sz w:val="24"/>
          <w:szCs w:val="24"/>
          <w:lang w:eastAsia="zh-CN"/>
        </w:rPr>
        <w:t>北京天地文化发展</w:t>
      </w:r>
      <w:r>
        <w:rPr>
          <w:rFonts w:hint="eastAsia" w:asciiTheme="minorEastAsia" w:hAnsiTheme="minorEastAsia"/>
          <w:sz w:val="24"/>
          <w:szCs w:val="24"/>
        </w:rPr>
        <w:t>基金会负责解释。</w:t>
      </w:r>
    </w:p>
    <w:p>
      <w:pPr>
        <w:spacing w:line="360" w:lineRule="auto"/>
        <w:ind w:firstLine="420" w:firstLineChars="200"/>
        <w:jc w:val="left"/>
        <w:rPr>
          <w:rFonts w:asciiTheme="minorEastAsia" w:hAnsiTheme="minorEastAsia"/>
          <w:szCs w:val="21"/>
        </w:rPr>
      </w:pPr>
    </w:p>
    <w:p>
      <w:pPr>
        <w:spacing w:line="360" w:lineRule="auto"/>
        <w:jc w:val="left"/>
        <w:rPr>
          <w:rFonts w:asciiTheme="minorEastAsia" w:hAnsiTheme="minorEastAsia"/>
          <w:szCs w:val="21"/>
        </w:rPr>
      </w:pPr>
    </w:p>
    <w:p>
      <w:pPr>
        <w:spacing w:line="360" w:lineRule="auto"/>
        <w:jc w:val="left"/>
        <w:rPr>
          <w:rFonts w:asciiTheme="minorEastAsia" w:hAnsiTheme="minorEastAsia"/>
          <w:szCs w:val="21"/>
        </w:rPr>
      </w:pPr>
    </w:p>
    <w:p>
      <w:pPr>
        <w:spacing w:line="360" w:lineRule="auto"/>
        <w:jc w:val="left"/>
        <w:rPr>
          <w:rFonts w:asciiTheme="minorEastAsia" w:hAnsiTheme="minorEastAsia"/>
          <w:szCs w:val="21"/>
        </w:rPr>
      </w:pPr>
    </w:p>
    <w:p>
      <w:pPr>
        <w:spacing w:line="360" w:lineRule="auto"/>
        <w:jc w:val="left"/>
        <w:rPr>
          <w:rFonts w:asciiTheme="minorEastAsia" w:hAnsiTheme="minorEastAsia"/>
          <w:szCs w:val="21"/>
        </w:rPr>
      </w:pPr>
    </w:p>
    <w:p>
      <w:pPr>
        <w:spacing w:line="360" w:lineRule="auto"/>
        <w:jc w:val="left"/>
        <w:rPr>
          <w:rFonts w:asciiTheme="minorEastAsia" w:hAnsiTheme="minorEastAsia"/>
          <w:szCs w:val="21"/>
        </w:rPr>
      </w:pPr>
    </w:p>
    <w:p>
      <w:pPr>
        <w:spacing w:line="360" w:lineRule="auto"/>
        <w:jc w:val="left"/>
        <w:rPr>
          <w:rFonts w:asciiTheme="minorEastAsia" w:hAnsiTheme="minorEastAsia"/>
          <w:szCs w:val="21"/>
        </w:rPr>
      </w:pPr>
    </w:p>
    <w:p>
      <w:pPr>
        <w:spacing w:line="360" w:lineRule="auto"/>
        <w:jc w:val="left"/>
        <w:rPr>
          <w:rFonts w:asciiTheme="minorEastAsia" w:hAnsiTheme="minorEastAsia"/>
          <w:szCs w:val="21"/>
        </w:rPr>
      </w:pPr>
    </w:p>
    <w:p>
      <w:pPr>
        <w:spacing w:line="360" w:lineRule="auto"/>
        <w:jc w:val="left"/>
        <w:rPr>
          <w:rFonts w:asciiTheme="minorEastAsia" w:hAnsiTheme="minorEastAsia"/>
          <w:szCs w:val="21"/>
        </w:rPr>
      </w:pPr>
    </w:p>
    <w:p>
      <w:pPr>
        <w:spacing w:line="360" w:lineRule="auto"/>
        <w:jc w:val="left"/>
        <w:rPr>
          <w:rFonts w:asciiTheme="minorEastAsia" w:hAnsiTheme="minorEastAsia"/>
          <w:szCs w:val="21"/>
        </w:rPr>
      </w:pPr>
    </w:p>
    <w:p>
      <w:pPr>
        <w:spacing w:line="360" w:lineRule="auto"/>
        <w:jc w:val="left"/>
        <w:rPr>
          <w:rFonts w:asciiTheme="minorEastAsia" w:hAnsiTheme="minorEastAsia"/>
          <w:szCs w:val="21"/>
        </w:rPr>
      </w:pPr>
    </w:p>
    <w:p>
      <w:pPr>
        <w:spacing w:line="360" w:lineRule="auto"/>
        <w:jc w:val="left"/>
        <w:rPr>
          <w:rFonts w:asciiTheme="minorEastAsia" w:hAnsiTheme="minorEastAsia"/>
          <w:szCs w:val="21"/>
        </w:rPr>
      </w:pPr>
    </w:p>
    <w:p>
      <w:pPr>
        <w:spacing w:line="360" w:lineRule="auto"/>
        <w:jc w:val="left"/>
        <w:rPr>
          <w:rFonts w:asciiTheme="minorEastAsia" w:hAnsiTheme="minorEastAsia"/>
          <w:szCs w:val="21"/>
        </w:rPr>
      </w:pPr>
    </w:p>
    <w:p>
      <w:pPr>
        <w:spacing w:before="156" w:beforeLines="50" w:after="156" w:afterLines="50" w:line="360" w:lineRule="auto"/>
        <w:jc w:val="center"/>
        <w:outlineLvl w:val="1"/>
        <w:rPr>
          <w:rFonts w:ascii="黑体" w:hAnsi="黑体" w:eastAsia="黑体"/>
          <w:b/>
          <w:sz w:val="32"/>
          <w:szCs w:val="32"/>
        </w:rPr>
      </w:pPr>
      <w:bookmarkStart w:id="2" w:name="_Toc28613"/>
      <w:bookmarkStart w:id="3" w:name="_Toc403829175"/>
      <w:r>
        <w:rPr>
          <w:rFonts w:hint="eastAsia" w:ascii="黑体" w:hAnsi="黑体" w:eastAsia="黑体"/>
          <w:b/>
          <w:sz w:val="32"/>
          <w:szCs w:val="32"/>
        </w:rPr>
        <w:t xml:space="preserve">二 </w:t>
      </w:r>
      <w:r>
        <w:rPr>
          <w:rFonts w:hint="eastAsia" w:ascii="黑体" w:hAnsi="黑体" w:eastAsia="黑体"/>
          <w:b/>
          <w:sz w:val="32"/>
          <w:szCs w:val="32"/>
          <w:lang w:eastAsia="zh-CN"/>
        </w:rPr>
        <w:t>北京天地文化发展</w:t>
      </w:r>
      <w:r>
        <w:rPr>
          <w:rFonts w:hint="eastAsia" w:ascii="黑体" w:hAnsi="黑体" w:eastAsia="黑体"/>
          <w:b/>
          <w:sz w:val="32"/>
          <w:szCs w:val="32"/>
        </w:rPr>
        <w:t>基金会行政管理制度</w:t>
      </w:r>
      <w:bookmarkEnd w:id="2"/>
      <w:bookmarkEnd w:id="3"/>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1.1为提高</w:t>
      </w:r>
      <w:r>
        <w:rPr>
          <w:rFonts w:hint="eastAsia"/>
          <w:sz w:val="24"/>
          <w:szCs w:val="24"/>
          <w:lang w:eastAsia="zh-CN"/>
        </w:rPr>
        <w:t>北京天地文化发展</w:t>
      </w:r>
      <w:r>
        <w:rPr>
          <w:rFonts w:hint="eastAsia"/>
          <w:sz w:val="24"/>
          <w:szCs w:val="24"/>
        </w:rPr>
        <w:t>基金会（以下简称“本基金会”）行政化专业管理能力、工作效率，以及促进基金会内部运作的合理、规范及协调有效性，特制定本制度。</w:t>
      </w:r>
    </w:p>
    <w:p>
      <w:pPr>
        <w:spacing w:line="360" w:lineRule="auto"/>
        <w:ind w:firstLine="480" w:firstLineChars="200"/>
        <w:rPr>
          <w:sz w:val="24"/>
          <w:szCs w:val="24"/>
        </w:rPr>
      </w:pPr>
      <w:r>
        <w:rPr>
          <w:rFonts w:hint="eastAsia"/>
          <w:sz w:val="24"/>
          <w:szCs w:val="24"/>
        </w:rPr>
        <w:t>1.2本制度适用于</w:t>
      </w:r>
      <w:r>
        <w:rPr>
          <w:rFonts w:hint="eastAsia"/>
          <w:sz w:val="24"/>
          <w:szCs w:val="24"/>
          <w:lang w:eastAsia="zh-CN"/>
        </w:rPr>
        <w:t>北京天地文化发展</w:t>
      </w:r>
      <w:r>
        <w:rPr>
          <w:rFonts w:hint="eastAsia"/>
          <w:sz w:val="24"/>
          <w:szCs w:val="24"/>
        </w:rPr>
        <w:t>基金会。</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2．行政工作的职能</w:t>
      </w:r>
    </w:p>
    <w:p>
      <w:pPr>
        <w:spacing w:line="360" w:lineRule="auto"/>
        <w:ind w:firstLine="480" w:firstLineChars="200"/>
        <w:rPr>
          <w:sz w:val="24"/>
          <w:szCs w:val="24"/>
        </w:rPr>
      </w:pPr>
      <w:r>
        <w:rPr>
          <w:rFonts w:hint="eastAsia"/>
          <w:sz w:val="24"/>
          <w:szCs w:val="24"/>
        </w:rPr>
        <w:t>2.1制度建设：本基金会各项行政管理制度的制定和修订，其他各项管理制度的统筹。</w:t>
      </w:r>
    </w:p>
    <w:p>
      <w:pPr>
        <w:spacing w:line="360" w:lineRule="auto"/>
        <w:ind w:firstLine="480" w:firstLineChars="200"/>
        <w:rPr>
          <w:sz w:val="24"/>
          <w:szCs w:val="24"/>
        </w:rPr>
      </w:pPr>
      <w:r>
        <w:rPr>
          <w:rFonts w:hint="eastAsia"/>
          <w:sz w:val="24"/>
          <w:szCs w:val="24"/>
        </w:rPr>
        <w:t>2.2日常办公环境管理：维护基金会公共环境整洁、清洁、有序；督促员工爱护与维护公共环境。</w:t>
      </w:r>
    </w:p>
    <w:p>
      <w:pPr>
        <w:spacing w:line="360" w:lineRule="auto"/>
        <w:ind w:firstLine="480" w:firstLineChars="200"/>
        <w:rPr>
          <w:sz w:val="24"/>
          <w:szCs w:val="24"/>
        </w:rPr>
      </w:pPr>
      <w:r>
        <w:rPr>
          <w:rFonts w:hint="eastAsia"/>
          <w:sz w:val="24"/>
          <w:szCs w:val="24"/>
        </w:rPr>
        <w:t>2.3公用物品的管理：公用办公设备、办公用品的管理及维护，具体包括物品的采购、验收、保管、维护</w:t>
      </w:r>
      <w:r>
        <w:rPr>
          <w:rFonts w:hint="eastAsia"/>
          <w:sz w:val="24"/>
          <w:szCs w:val="24"/>
          <w:lang w:val="en-US" w:eastAsia="zh-CN"/>
        </w:rPr>
        <w:t>及</w:t>
      </w:r>
      <w:r>
        <w:rPr>
          <w:rFonts w:hint="eastAsia"/>
          <w:sz w:val="24"/>
          <w:szCs w:val="24"/>
        </w:rPr>
        <w:t>报修等。</w:t>
      </w:r>
    </w:p>
    <w:p>
      <w:pPr>
        <w:spacing w:line="360" w:lineRule="auto"/>
        <w:ind w:firstLine="480" w:firstLineChars="200"/>
        <w:rPr>
          <w:sz w:val="24"/>
          <w:szCs w:val="24"/>
        </w:rPr>
      </w:pPr>
      <w:r>
        <w:rPr>
          <w:rFonts w:hint="eastAsia"/>
          <w:sz w:val="24"/>
          <w:szCs w:val="24"/>
        </w:rPr>
        <w:t>2.4 基金会资产的采购：严格按照采购流程，购买基金会各类物资和外包服务。</w:t>
      </w:r>
    </w:p>
    <w:p>
      <w:pPr>
        <w:spacing w:line="360" w:lineRule="auto"/>
        <w:ind w:firstLine="480" w:firstLineChars="200"/>
        <w:rPr>
          <w:sz w:val="24"/>
          <w:szCs w:val="24"/>
        </w:rPr>
      </w:pPr>
      <w:r>
        <w:rPr>
          <w:rFonts w:hint="eastAsia"/>
          <w:sz w:val="24"/>
          <w:szCs w:val="24"/>
        </w:rPr>
        <w:t>2.5 固定资产的管理：各项固定资产的采购、验收、保管、维护、报修等。</w:t>
      </w:r>
    </w:p>
    <w:p>
      <w:pPr>
        <w:spacing w:line="360" w:lineRule="auto"/>
        <w:ind w:firstLine="480" w:firstLineChars="200"/>
        <w:rPr>
          <w:sz w:val="24"/>
          <w:szCs w:val="24"/>
        </w:rPr>
      </w:pPr>
      <w:r>
        <w:rPr>
          <w:rFonts w:hint="eastAsia"/>
          <w:sz w:val="24"/>
          <w:szCs w:val="24"/>
        </w:rPr>
        <w:t>2.6文书、档案的管理：基金会各类合同、法定事务及法定会议相关资料（包含视频、录音、图片资料等）的收集整理；项目部所需存档的项目相关文件；各部门制度性文件的收集归档及统一电子化管理。</w:t>
      </w:r>
    </w:p>
    <w:p>
      <w:pPr>
        <w:spacing w:line="360" w:lineRule="auto"/>
        <w:ind w:firstLine="480" w:firstLineChars="200"/>
        <w:rPr>
          <w:sz w:val="24"/>
          <w:szCs w:val="24"/>
        </w:rPr>
      </w:pPr>
      <w:r>
        <w:rPr>
          <w:rFonts w:hint="eastAsia"/>
          <w:sz w:val="24"/>
          <w:szCs w:val="24"/>
        </w:rPr>
        <w:t>2.7供应商管理：对为本基金会有偿提供产品或服务的供应商的管理。</w:t>
      </w:r>
    </w:p>
    <w:p>
      <w:pPr>
        <w:spacing w:line="360" w:lineRule="auto"/>
        <w:ind w:firstLine="480" w:firstLineChars="200"/>
        <w:rPr>
          <w:sz w:val="24"/>
          <w:szCs w:val="24"/>
        </w:rPr>
      </w:pPr>
      <w:r>
        <w:rPr>
          <w:rFonts w:hint="eastAsia"/>
          <w:sz w:val="24"/>
          <w:szCs w:val="24"/>
        </w:rPr>
        <w:t>2.8本基金会法定会议和运作管理所需开展的各类会议，包括会议议程的设计、制定；会议资料的协调、统筹、制作；会议通知的拟定与发送；会议纪要的整理、归档；会议现场各项工作的协调与统筹；其他与理事会相关的工作。</w:t>
      </w:r>
    </w:p>
    <w:p>
      <w:pPr>
        <w:spacing w:line="360" w:lineRule="auto"/>
        <w:ind w:firstLine="480" w:firstLineChars="200"/>
        <w:rPr>
          <w:sz w:val="24"/>
          <w:szCs w:val="24"/>
        </w:rPr>
      </w:pPr>
      <w:r>
        <w:rPr>
          <w:rFonts w:hint="eastAsia"/>
          <w:sz w:val="24"/>
          <w:szCs w:val="24"/>
        </w:rPr>
        <w:t>2.9本基金会法定事务：</w:t>
      </w:r>
    </w:p>
    <w:p>
      <w:pPr>
        <w:spacing w:line="360" w:lineRule="auto"/>
        <w:ind w:firstLine="480" w:firstLineChars="200"/>
        <w:rPr>
          <w:sz w:val="24"/>
          <w:szCs w:val="24"/>
        </w:rPr>
      </w:pPr>
      <w:r>
        <w:rPr>
          <w:rFonts w:hint="eastAsia"/>
          <w:sz w:val="24"/>
          <w:szCs w:val="24"/>
        </w:rPr>
        <w:t>2.9.1由</w:t>
      </w:r>
      <w:r>
        <w:rPr>
          <w:rFonts w:hint="eastAsia"/>
          <w:sz w:val="24"/>
          <w:szCs w:val="24"/>
          <w:lang w:val="en-US" w:eastAsia="zh-CN"/>
        </w:rPr>
        <w:t>民政部门</w:t>
      </w:r>
      <w:r>
        <w:rPr>
          <w:rFonts w:hint="eastAsia"/>
          <w:sz w:val="24"/>
          <w:szCs w:val="24"/>
        </w:rPr>
        <w:t>组织的基金会年度检查工作、每三年进行一次的基金会评估工作。</w:t>
      </w:r>
    </w:p>
    <w:p>
      <w:pPr>
        <w:spacing w:line="360" w:lineRule="auto"/>
        <w:ind w:firstLine="480" w:firstLineChars="200"/>
        <w:rPr>
          <w:sz w:val="24"/>
          <w:szCs w:val="24"/>
        </w:rPr>
      </w:pPr>
      <w:r>
        <w:rPr>
          <w:rFonts w:hint="eastAsia"/>
          <w:sz w:val="24"/>
          <w:szCs w:val="24"/>
        </w:rPr>
        <w:t>2.9.2与理事、监事日常的沟通与协调工作。</w:t>
      </w:r>
    </w:p>
    <w:p>
      <w:pPr>
        <w:spacing w:line="360" w:lineRule="auto"/>
        <w:ind w:firstLine="480" w:firstLineChars="200"/>
        <w:rPr>
          <w:sz w:val="24"/>
          <w:szCs w:val="24"/>
        </w:rPr>
      </w:pPr>
      <w:r>
        <w:rPr>
          <w:rFonts w:hint="eastAsia"/>
          <w:sz w:val="24"/>
          <w:szCs w:val="24"/>
        </w:rPr>
        <w:t>2.9.3与业务主管单位：北京市民政局相关工作的沟通联络及关系维护。</w:t>
      </w:r>
    </w:p>
    <w:p>
      <w:pPr>
        <w:spacing w:line="360" w:lineRule="auto"/>
        <w:ind w:firstLine="480" w:firstLineChars="200"/>
        <w:rPr>
          <w:sz w:val="24"/>
          <w:szCs w:val="24"/>
        </w:rPr>
      </w:pPr>
      <w:r>
        <w:rPr>
          <w:rFonts w:hint="eastAsia"/>
          <w:sz w:val="24"/>
          <w:szCs w:val="24"/>
        </w:rPr>
        <w:t>2.9.4其他与机构法律地位相关的对内对外工作。</w:t>
      </w:r>
    </w:p>
    <w:p>
      <w:pPr>
        <w:spacing w:line="360" w:lineRule="auto"/>
        <w:ind w:firstLine="480" w:firstLineChars="200"/>
        <w:rPr>
          <w:sz w:val="24"/>
          <w:szCs w:val="24"/>
        </w:rPr>
      </w:pPr>
      <w:r>
        <w:rPr>
          <w:rFonts w:hint="eastAsia"/>
          <w:sz w:val="24"/>
          <w:szCs w:val="24"/>
        </w:rPr>
        <w:t>2.10 礼品、纪念品管理：负责礼品、纪念品的设计、制作、保管与发放及情况跟进。</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3．采购管理</w:t>
      </w:r>
    </w:p>
    <w:p>
      <w:pPr>
        <w:spacing w:line="360" w:lineRule="auto"/>
        <w:ind w:firstLine="480" w:firstLineChars="200"/>
        <w:rPr>
          <w:sz w:val="24"/>
          <w:szCs w:val="24"/>
        </w:rPr>
      </w:pPr>
      <w:r>
        <w:rPr>
          <w:rFonts w:hint="eastAsia"/>
          <w:sz w:val="24"/>
          <w:szCs w:val="24"/>
        </w:rPr>
        <w:t>3.2.1原则</w:t>
      </w:r>
    </w:p>
    <w:p>
      <w:pPr>
        <w:spacing w:line="360" w:lineRule="auto"/>
        <w:ind w:firstLine="480" w:firstLineChars="200"/>
        <w:rPr>
          <w:sz w:val="24"/>
          <w:szCs w:val="24"/>
        </w:rPr>
      </w:pPr>
      <w:r>
        <w:rPr>
          <w:rFonts w:hint="eastAsia"/>
          <w:sz w:val="24"/>
          <w:szCs w:val="24"/>
        </w:rPr>
        <w:t>3.2.1.1 采购应在价格合理、确保质量与交货期的基础上采购本基金会所需的各类物品</w:t>
      </w:r>
      <w:r>
        <w:rPr>
          <w:rFonts w:hint="eastAsia"/>
          <w:sz w:val="24"/>
          <w:szCs w:val="24"/>
          <w:lang w:eastAsia="zh-CN"/>
        </w:rPr>
        <w:t>，</w:t>
      </w:r>
      <w:r>
        <w:rPr>
          <w:rFonts w:hint="eastAsia"/>
          <w:sz w:val="24"/>
          <w:szCs w:val="24"/>
        </w:rPr>
        <w:t>与供应商建立稳固、良好的合作关系</w:t>
      </w:r>
      <w:r>
        <w:rPr>
          <w:rFonts w:hint="eastAsia"/>
          <w:sz w:val="24"/>
          <w:szCs w:val="24"/>
          <w:lang w:eastAsia="zh-CN"/>
        </w:rPr>
        <w:t>，</w:t>
      </w:r>
      <w:r>
        <w:rPr>
          <w:rFonts w:hint="eastAsia"/>
          <w:sz w:val="24"/>
          <w:szCs w:val="24"/>
        </w:rPr>
        <w:t>以期降低采购成本并有效满足各部门的需求。</w:t>
      </w:r>
    </w:p>
    <w:p>
      <w:pPr>
        <w:spacing w:line="360" w:lineRule="auto"/>
        <w:ind w:firstLine="480" w:firstLineChars="200"/>
        <w:rPr>
          <w:sz w:val="24"/>
          <w:szCs w:val="24"/>
        </w:rPr>
      </w:pPr>
      <w:r>
        <w:rPr>
          <w:rFonts w:hint="eastAsia"/>
          <w:sz w:val="24"/>
          <w:szCs w:val="24"/>
        </w:rPr>
        <w:t>3.2目标</w:t>
      </w:r>
    </w:p>
    <w:p>
      <w:pPr>
        <w:spacing w:line="360" w:lineRule="auto"/>
        <w:ind w:firstLine="480" w:firstLineChars="200"/>
        <w:rPr>
          <w:sz w:val="24"/>
          <w:szCs w:val="24"/>
        </w:rPr>
      </w:pPr>
      <w:r>
        <w:rPr>
          <w:rFonts w:hint="eastAsia"/>
          <w:sz w:val="24"/>
          <w:szCs w:val="24"/>
        </w:rPr>
        <w:t>3.2.1 确定所需物品的品质、数量及交货期；</w:t>
      </w:r>
    </w:p>
    <w:p>
      <w:pPr>
        <w:spacing w:line="360" w:lineRule="auto"/>
        <w:ind w:firstLine="480" w:firstLineChars="200"/>
        <w:rPr>
          <w:sz w:val="24"/>
          <w:szCs w:val="24"/>
        </w:rPr>
      </w:pPr>
      <w:r>
        <w:rPr>
          <w:rFonts w:hint="eastAsia"/>
          <w:sz w:val="24"/>
          <w:szCs w:val="24"/>
        </w:rPr>
        <w:t>3.2.2 取得最合理的采购价格；</w:t>
      </w:r>
    </w:p>
    <w:p>
      <w:pPr>
        <w:spacing w:line="360" w:lineRule="auto"/>
        <w:ind w:firstLine="480" w:firstLineChars="200"/>
        <w:rPr>
          <w:sz w:val="24"/>
          <w:szCs w:val="24"/>
        </w:rPr>
      </w:pPr>
      <w:r>
        <w:rPr>
          <w:rFonts w:hint="eastAsia"/>
          <w:sz w:val="24"/>
          <w:szCs w:val="24"/>
        </w:rPr>
        <w:t>3.3 采购物品范围</w:t>
      </w:r>
    </w:p>
    <w:p>
      <w:pPr>
        <w:spacing w:line="360" w:lineRule="auto"/>
        <w:ind w:firstLine="480" w:firstLineChars="200"/>
        <w:rPr>
          <w:sz w:val="24"/>
          <w:szCs w:val="24"/>
        </w:rPr>
      </w:pPr>
      <w:r>
        <w:rPr>
          <w:rFonts w:hint="eastAsia"/>
          <w:sz w:val="24"/>
          <w:szCs w:val="24"/>
        </w:rPr>
        <w:t>3.3.1 综合管理部采购范围为：办公用品、办公电器、消耗品、电脑及相关配件、外包服务、机构相关部门指定购买的物品或外包服务；</w:t>
      </w:r>
    </w:p>
    <w:p>
      <w:pPr>
        <w:spacing w:line="360" w:lineRule="auto"/>
        <w:ind w:firstLine="480" w:firstLineChars="200"/>
        <w:rPr>
          <w:sz w:val="24"/>
          <w:szCs w:val="24"/>
        </w:rPr>
      </w:pPr>
      <w:r>
        <w:rPr>
          <w:rFonts w:hint="eastAsia"/>
          <w:sz w:val="24"/>
          <w:szCs w:val="24"/>
        </w:rPr>
        <w:t>3.3.2 综合管理部负责联络所采购物品的售后服务。</w:t>
      </w:r>
    </w:p>
    <w:p>
      <w:pPr>
        <w:spacing w:line="360" w:lineRule="auto"/>
        <w:ind w:firstLine="480" w:firstLineChars="200"/>
        <w:rPr>
          <w:sz w:val="24"/>
          <w:szCs w:val="24"/>
        </w:rPr>
      </w:pPr>
      <w:r>
        <w:rPr>
          <w:rFonts w:hint="eastAsia"/>
          <w:sz w:val="24"/>
          <w:szCs w:val="24"/>
        </w:rPr>
        <w:t>3.4采购要求</w:t>
      </w:r>
    </w:p>
    <w:p>
      <w:pPr>
        <w:spacing w:line="360" w:lineRule="auto"/>
        <w:ind w:firstLine="480" w:firstLineChars="200"/>
        <w:rPr>
          <w:sz w:val="24"/>
          <w:szCs w:val="24"/>
        </w:rPr>
      </w:pPr>
      <w:r>
        <w:rPr>
          <w:rFonts w:hint="eastAsia"/>
          <w:sz w:val="24"/>
          <w:szCs w:val="24"/>
        </w:rPr>
        <w:t>3.4.1 需严格甄选采购供应商；以合理价格购入</w:t>
      </w:r>
      <w:r>
        <w:rPr>
          <w:rFonts w:hint="eastAsia"/>
          <w:sz w:val="24"/>
          <w:szCs w:val="24"/>
          <w:lang w:eastAsia="zh-CN"/>
        </w:rPr>
        <w:t>，</w:t>
      </w:r>
      <w:r>
        <w:rPr>
          <w:rFonts w:hint="eastAsia"/>
          <w:sz w:val="24"/>
          <w:szCs w:val="24"/>
        </w:rPr>
        <w:t>并确保经济、耐用、美观；以安全库存为仓储基础</w:t>
      </w:r>
      <w:r>
        <w:rPr>
          <w:rFonts w:hint="eastAsia"/>
          <w:sz w:val="24"/>
          <w:szCs w:val="24"/>
          <w:lang w:eastAsia="zh-CN"/>
        </w:rPr>
        <w:t>，</w:t>
      </w:r>
      <w:r>
        <w:rPr>
          <w:rFonts w:hint="eastAsia"/>
          <w:sz w:val="24"/>
          <w:szCs w:val="24"/>
        </w:rPr>
        <w:t>及时适量地满足使用部门的要求；</w:t>
      </w:r>
    </w:p>
    <w:p>
      <w:pPr>
        <w:spacing w:line="360" w:lineRule="auto"/>
        <w:ind w:firstLine="480" w:firstLineChars="200"/>
        <w:rPr>
          <w:sz w:val="24"/>
          <w:szCs w:val="24"/>
        </w:rPr>
      </w:pPr>
      <w:r>
        <w:rPr>
          <w:rFonts w:hint="eastAsia"/>
          <w:sz w:val="24"/>
          <w:szCs w:val="24"/>
        </w:rPr>
        <w:t>3.4.2 需严格按照请购流程进行采购，包括根据采购物品类型选择合适采购方式，进行规定的询价报价和比价议价后再发出订单，认真验收后再进行结算付款；</w:t>
      </w:r>
    </w:p>
    <w:p>
      <w:pPr>
        <w:spacing w:line="360" w:lineRule="auto"/>
        <w:ind w:firstLine="480" w:firstLineChars="200"/>
        <w:rPr>
          <w:sz w:val="24"/>
          <w:szCs w:val="24"/>
        </w:rPr>
      </w:pPr>
      <w:r>
        <w:rPr>
          <w:rFonts w:hint="eastAsia"/>
          <w:sz w:val="24"/>
          <w:szCs w:val="24"/>
        </w:rPr>
        <w:t>3.4.3 特殊情况可以按照特殊办法进行处理。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4．合同管理</w:t>
      </w:r>
    </w:p>
    <w:p>
      <w:pPr>
        <w:spacing w:line="360" w:lineRule="auto"/>
        <w:ind w:firstLine="480" w:firstLineChars="200"/>
        <w:rPr>
          <w:sz w:val="24"/>
          <w:szCs w:val="24"/>
        </w:rPr>
      </w:pPr>
      <w:r>
        <w:rPr>
          <w:rFonts w:hint="eastAsia"/>
          <w:sz w:val="24"/>
          <w:szCs w:val="24"/>
        </w:rPr>
        <w:t>4.1合同类型签署规定</w:t>
      </w:r>
    </w:p>
    <w:p>
      <w:pPr>
        <w:spacing w:line="360" w:lineRule="auto"/>
        <w:ind w:firstLine="480" w:firstLineChars="200"/>
        <w:rPr>
          <w:sz w:val="24"/>
          <w:szCs w:val="24"/>
        </w:rPr>
      </w:pPr>
      <w:r>
        <w:rPr>
          <w:rFonts w:hint="eastAsia"/>
          <w:sz w:val="24"/>
          <w:szCs w:val="24"/>
        </w:rPr>
        <w:t>4.1.1供应商类型的合同。行政人员在供应商选择过程中，针对具体需要面向市场进行性价比较，并在合同审核单上签署书面意见。其他类型合同，行政人员不介入合同签署流程。</w:t>
      </w:r>
    </w:p>
    <w:p>
      <w:pPr>
        <w:spacing w:line="360" w:lineRule="auto"/>
        <w:ind w:firstLine="480" w:firstLineChars="200"/>
        <w:rPr>
          <w:sz w:val="24"/>
          <w:szCs w:val="24"/>
        </w:rPr>
      </w:pPr>
      <w:r>
        <w:rPr>
          <w:rFonts w:hint="eastAsia"/>
          <w:sz w:val="24"/>
          <w:szCs w:val="24"/>
        </w:rPr>
        <w:t>4.1.2金额在5000元（含）以下的各类对外合作，可以不签署相关合同，依据发票结算。</w:t>
      </w:r>
    </w:p>
    <w:p>
      <w:pPr>
        <w:spacing w:line="360" w:lineRule="auto"/>
        <w:ind w:firstLine="480" w:firstLineChars="200"/>
        <w:rPr>
          <w:sz w:val="24"/>
          <w:szCs w:val="24"/>
        </w:rPr>
      </w:pPr>
      <w:r>
        <w:rPr>
          <w:rFonts w:hint="eastAsia"/>
          <w:sz w:val="24"/>
          <w:szCs w:val="24"/>
        </w:rPr>
        <w:t>4.2合同签署流程</w:t>
      </w:r>
    </w:p>
    <w:p>
      <w:pPr>
        <w:spacing w:line="360" w:lineRule="auto"/>
        <w:ind w:firstLine="480" w:firstLineChars="200"/>
        <w:rPr>
          <w:sz w:val="24"/>
          <w:szCs w:val="24"/>
        </w:rPr>
      </w:pPr>
      <w:r>
        <w:rPr>
          <w:rFonts w:hint="eastAsia"/>
          <w:sz w:val="24"/>
          <w:szCs w:val="24"/>
        </w:rPr>
        <w:t>4.2.1各类合同由有关人员复核，部门经理或主管总监进行审核，财务部进行法务审核、财务审核，最终由秘书长审批签署、盖章。</w:t>
      </w:r>
    </w:p>
    <w:p>
      <w:pPr>
        <w:spacing w:line="360" w:lineRule="auto"/>
        <w:ind w:firstLine="480" w:firstLineChars="200"/>
        <w:rPr>
          <w:sz w:val="24"/>
          <w:szCs w:val="24"/>
        </w:rPr>
      </w:pPr>
      <w:r>
        <w:rPr>
          <w:rFonts w:hint="eastAsia"/>
          <w:sz w:val="24"/>
          <w:szCs w:val="24"/>
        </w:rPr>
        <w:t>4.2.2所有合同签署时，需要依据相关流程进行签署和审批。</w:t>
      </w:r>
    </w:p>
    <w:p>
      <w:pPr>
        <w:spacing w:line="360" w:lineRule="auto"/>
        <w:ind w:firstLine="480" w:firstLineChars="200"/>
        <w:rPr>
          <w:sz w:val="24"/>
          <w:szCs w:val="24"/>
        </w:rPr>
      </w:pPr>
      <w:r>
        <w:rPr>
          <w:rFonts w:hint="eastAsia"/>
          <w:sz w:val="24"/>
          <w:szCs w:val="24"/>
        </w:rPr>
        <w:t>4.3合同存档</w:t>
      </w:r>
    </w:p>
    <w:p>
      <w:pPr>
        <w:spacing w:line="360" w:lineRule="auto"/>
        <w:ind w:firstLine="480" w:firstLineChars="200"/>
        <w:rPr>
          <w:sz w:val="24"/>
          <w:szCs w:val="24"/>
        </w:rPr>
      </w:pPr>
      <w:r>
        <w:rPr>
          <w:rFonts w:hint="eastAsia"/>
          <w:sz w:val="24"/>
          <w:szCs w:val="24"/>
        </w:rPr>
        <w:t>4.3.1各类合同一式两份，签署、盖章完毕后，一份原件送综合管理部存档保管，一份原件送交合同当事人。</w:t>
      </w:r>
    </w:p>
    <w:p>
      <w:pPr>
        <w:spacing w:line="360" w:lineRule="auto"/>
        <w:ind w:firstLine="480" w:firstLineChars="200"/>
        <w:rPr>
          <w:sz w:val="24"/>
          <w:szCs w:val="24"/>
        </w:rPr>
      </w:pPr>
      <w:r>
        <w:rPr>
          <w:rFonts w:hint="eastAsia"/>
          <w:sz w:val="24"/>
          <w:szCs w:val="24"/>
        </w:rPr>
        <w:t>4.3.2综合管理部将最终签署的合同复印件随财务结算申请送交财务工作人员保管，原件扫描成PDF文件进行电子文件归档。电子版合同用于日常借阅。</w:t>
      </w:r>
    </w:p>
    <w:p>
      <w:pPr>
        <w:spacing w:line="360" w:lineRule="auto"/>
        <w:ind w:firstLine="480" w:firstLineChars="200"/>
        <w:rPr>
          <w:sz w:val="24"/>
          <w:szCs w:val="24"/>
        </w:rPr>
      </w:pPr>
      <w:r>
        <w:rPr>
          <w:rFonts w:hint="eastAsia"/>
          <w:sz w:val="24"/>
          <w:szCs w:val="24"/>
        </w:rPr>
        <w:t>4.4合同归档</w:t>
      </w:r>
    </w:p>
    <w:p>
      <w:pPr>
        <w:spacing w:line="360" w:lineRule="auto"/>
        <w:ind w:firstLine="480" w:firstLineChars="200"/>
        <w:rPr>
          <w:sz w:val="24"/>
          <w:szCs w:val="24"/>
        </w:rPr>
      </w:pPr>
      <w:r>
        <w:rPr>
          <w:rFonts w:hint="eastAsia"/>
          <w:sz w:val="24"/>
          <w:szCs w:val="24"/>
        </w:rPr>
        <w:t>4.4.1综合管理部负责统一编号、整理、保管归档合同。合同编号方法：基金会名称+部门+年份+序号，每年年初档案号从01开始编起。</w:t>
      </w:r>
    </w:p>
    <w:p>
      <w:pPr>
        <w:spacing w:line="360" w:lineRule="auto"/>
        <w:ind w:firstLine="480" w:firstLineChars="200"/>
        <w:rPr>
          <w:sz w:val="24"/>
          <w:szCs w:val="24"/>
        </w:rPr>
      </w:pPr>
      <w:r>
        <w:rPr>
          <w:rFonts w:hint="eastAsia"/>
          <w:sz w:val="24"/>
          <w:szCs w:val="24"/>
        </w:rPr>
        <w:t>4.4.2编号后的合同由综合管理部按部门分别进行纸质及电子版的整理、保管、并编制年度登记表。</w:t>
      </w:r>
    </w:p>
    <w:p>
      <w:pPr>
        <w:spacing w:line="360" w:lineRule="auto"/>
        <w:ind w:firstLine="480" w:firstLineChars="200"/>
        <w:rPr>
          <w:sz w:val="24"/>
          <w:szCs w:val="24"/>
        </w:rPr>
      </w:pPr>
      <w:r>
        <w:rPr>
          <w:rFonts w:hint="eastAsia"/>
          <w:sz w:val="24"/>
          <w:szCs w:val="24"/>
        </w:rPr>
        <w:t>4.4.3合同执行过程中发生变更，完成新合同的签署，作为原合同附件，进行相关的存档及保管。</w:t>
      </w:r>
    </w:p>
    <w:p>
      <w:pPr>
        <w:spacing w:line="360" w:lineRule="auto"/>
        <w:ind w:firstLine="480" w:firstLineChars="200"/>
        <w:rPr>
          <w:sz w:val="24"/>
          <w:szCs w:val="24"/>
        </w:rPr>
      </w:pPr>
      <w:r>
        <w:rPr>
          <w:rFonts w:hint="eastAsia"/>
          <w:sz w:val="24"/>
          <w:szCs w:val="24"/>
        </w:rPr>
        <w:t>4.5合同借阅</w:t>
      </w:r>
    </w:p>
    <w:p>
      <w:pPr>
        <w:spacing w:line="360" w:lineRule="auto"/>
        <w:ind w:firstLine="480" w:firstLineChars="200"/>
        <w:rPr>
          <w:sz w:val="24"/>
          <w:szCs w:val="24"/>
        </w:rPr>
      </w:pPr>
      <w:r>
        <w:rPr>
          <w:rFonts w:hint="eastAsia"/>
          <w:sz w:val="24"/>
          <w:szCs w:val="24"/>
        </w:rPr>
        <w:t>4.5.1员工因工作需要可借阅本基金会各项合同电子版。</w:t>
      </w:r>
    </w:p>
    <w:p>
      <w:pPr>
        <w:spacing w:line="360" w:lineRule="auto"/>
        <w:ind w:firstLine="480" w:firstLineChars="200"/>
        <w:rPr>
          <w:sz w:val="24"/>
          <w:szCs w:val="24"/>
        </w:rPr>
      </w:pPr>
      <w:r>
        <w:rPr>
          <w:rFonts w:hint="eastAsia"/>
          <w:sz w:val="24"/>
          <w:szCs w:val="24"/>
        </w:rPr>
        <w:t>4.5.2因特殊情况借阅合同原件时，需与合同管理人员办理书面借阅手续。</w:t>
      </w:r>
    </w:p>
    <w:p>
      <w:pPr>
        <w:spacing w:line="360" w:lineRule="auto"/>
        <w:ind w:firstLine="480" w:firstLineChars="200"/>
        <w:rPr>
          <w:sz w:val="24"/>
          <w:szCs w:val="24"/>
        </w:rPr>
      </w:pPr>
      <w:r>
        <w:rPr>
          <w:rFonts w:hint="eastAsia"/>
          <w:sz w:val="24"/>
          <w:szCs w:val="24"/>
        </w:rPr>
        <w:t>4.5.3因机构审计、评估、年检等法定事务需要借阅合同原件时，由该项事务所属部门经理作为经手人办理书面借阅手续。</w:t>
      </w:r>
    </w:p>
    <w:p>
      <w:pPr>
        <w:spacing w:line="360" w:lineRule="auto"/>
        <w:ind w:firstLine="480" w:firstLineChars="200"/>
        <w:rPr>
          <w:sz w:val="24"/>
          <w:szCs w:val="24"/>
        </w:rPr>
      </w:pPr>
      <w:r>
        <w:rPr>
          <w:rFonts w:hint="eastAsia"/>
          <w:sz w:val="24"/>
          <w:szCs w:val="24"/>
        </w:rPr>
        <w:t>4.5.4非机构人员借阅合同原件，需经秘书长签署同意，方可借阅。</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5．办公环保节能管理</w:t>
      </w:r>
    </w:p>
    <w:p>
      <w:pPr>
        <w:spacing w:line="360" w:lineRule="auto"/>
        <w:ind w:firstLine="480" w:firstLineChars="200"/>
        <w:rPr>
          <w:sz w:val="24"/>
          <w:szCs w:val="24"/>
        </w:rPr>
      </w:pPr>
      <w:r>
        <w:rPr>
          <w:rFonts w:hint="eastAsia"/>
          <w:sz w:val="24"/>
          <w:szCs w:val="24"/>
        </w:rPr>
        <w:t>5.1.下班后关闭所有办公设备的电源，如电脑、复印机、打印机、饮水机、碎纸机等，减少待机能耗；合理利用设备的待机省电模式；</w:t>
      </w:r>
    </w:p>
    <w:p>
      <w:pPr>
        <w:spacing w:line="360" w:lineRule="auto"/>
        <w:ind w:firstLine="480" w:firstLineChars="200"/>
        <w:rPr>
          <w:sz w:val="24"/>
          <w:szCs w:val="24"/>
        </w:rPr>
      </w:pPr>
      <w:r>
        <w:rPr>
          <w:rFonts w:hint="eastAsia"/>
          <w:sz w:val="24"/>
          <w:szCs w:val="24"/>
        </w:rPr>
        <w:t>5.2 办公室充分利用自然光照明，下班后关闭办公场所全部照明灯；</w:t>
      </w:r>
    </w:p>
    <w:p>
      <w:pPr>
        <w:spacing w:line="360" w:lineRule="auto"/>
        <w:ind w:firstLine="480" w:firstLineChars="200"/>
        <w:rPr>
          <w:sz w:val="24"/>
          <w:szCs w:val="24"/>
        </w:rPr>
      </w:pPr>
      <w:r>
        <w:rPr>
          <w:rFonts w:hint="eastAsia"/>
          <w:sz w:val="24"/>
          <w:szCs w:val="24"/>
        </w:rPr>
        <w:t>5.3 会议室、接待室等在使用时才开启照明灯或空调，使用完毕后，及时关闭照明灯、空调及会议用设备；</w:t>
      </w:r>
    </w:p>
    <w:p>
      <w:pPr>
        <w:spacing w:line="360" w:lineRule="auto"/>
        <w:ind w:firstLine="480" w:firstLineChars="200"/>
        <w:rPr>
          <w:sz w:val="24"/>
          <w:szCs w:val="24"/>
        </w:rPr>
      </w:pPr>
      <w:r>
        <w:rPr>
          <w:rFonts w:hint="eastAsia"/>
          <w:sz w:val="24"/>
          <w:szCs w:val="24"/>
        </w:rPr>
        <w:t>5.4 减少使用一次性餐具、文具、纸杯等；</w:t>
      </w:r>
    </w:p>
    <w:p>
      <w:pPr>
        <w:spacing w:line="360" w:lineRule="auto"/>
        <w:ind w:firstLine="480" w:firstLineChars="200"/>
        <w:rPr>
          <w:sz w:val="24"/>
          <w:szCs w:val="24"/>
        </w:rPr>
      </w:pPr>
      <w:r>
        <w:rPr>
          <w:rFonts w:hint="eastAsia"/>
          <w:sz w:val="24"/>
          <w:szCs w:val="24"/>
        </w:rPr>
        <w:t>5.5 尽量使用电子文档和多媒体设备；</w:t>
      </w:r>
    </w:p>
    <w:p>
      <w:pPr>
        <w:spacing w:line="360" w:lineRule="auto"/>
        <w:ind w:firstLine="480" w:firstLineChars="200"/>
        <w:rPr>
          <w:sz w:val="24"/>
          <w:szCs w:val="24"/>
        </w:rPr>
      </w:pPr>
      <w:r>
        <w:rPr>
          <w:rFonts w:hint="eastAsia"/>
          <w:sz w:val="24"/>
          <w:szCs w:val="24"/>
        </w:rPr>
        <w:t>5.6重新利用单面打印过的纸张起草文件、做便签和内部备忘录；</w:t>
      </w:r>
    </w:p>
    <w:p>
      <w:pPr>
        <w:spacing w:line="360" w:lineRule="auto"/>
        <w:ind w:firstLine="480" w:firstLineChars="200"/>
        <w:rPr>
          <w:sz w:val="24"/>
          <w:szCs w:val="24"/>
        </w:rPr>
      </w:pPr>
      <w:r>
        <w:rPr>
          <w:rFonts w:hint="eastAsia"/>
          <w:sz w:val="24"/>
          <w:szCs w:val="24"/>
        </w:rPr>
        <w:t>5.</w:t>
      </w:r>
      <w:r>
        <w:rPr>
          <w:sz w:val="24"/>
          <w:szCs w:val="24"/>
        </w:rPr>
        <w:t>7</w:t>
      </w:r>
      <w:r>
        <w:rPr>
          <w:rFonts w:hint="eastAsia"/>
          <w:sz w:val="24"/>
          <w:szCs w:val="24"/>
        </w:rPr>
        <w:t>可回收垃圾物品，尽量按回收方式分类处理。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6．印章管理</w:t>
      </w:r>
    </w:p>
    <w:p>
      <w:pPr>
        <w:spacing w:line="360" w:lineRule="auto"/>
        <w:ind w:firstLine="480" w:firstLineChars="200"/>
        <w:rPr>
          <w:sz w:val="24"/>
          <w:szCs w:val="24"/>
        </w:rPr>
      </w:pPr>
      <w:r>
        <w:rPr>
          <w:rFonts w:hint="eastAsia"/>
          <w:sz w:val="24"/>
          <w:szCs w:val="24"/>
        </w:rPr>
        <w:t>6.1本基金会的印章须由基金会综合管理部依照相关法律法规的规定，统一报批（报备）刻制，严禁各部门或相关工作人员私自刻章。</w:t>
      </w:r>
    </w:p>
    <w:p>
      <w:pPr>
        <w:spacing w:line="360" w:lineRule="auto"/>
        <w:ind w:firstLine="480" w:firstLineChars="200"/>
        <w:rPr>
          <w:sz w:val="24"/>
          <w:szCs w:val="24"/>
        </w:rPr>
      </w:pPr>
      <w:r>
        <w:rPr>
          <w:rFonts w:hint="eastAsia"/>
          <w:sz w:val="24"/>
          <w:szCs w:val="24"/>
        </w:rPr>
        <w:t>6.2印章刻就后，由基金会综合管理部发文启用，并报送主管部门备案。</w:t>
      </w:r>
    </w:p>
    <w:p>
      <w:pPr>
        <w:spacing w:line="360" w:lineRule="auto"/>
        <w:ind w:firstLine="480" w:firstLineChars="200"/>
        <w:rPr>
          <w:sz w:val="24"/>
          <w:szCs w:val="24"/>
        </w:rPr>
      </w:pPr>
      <w:r>
        <w:rPr>
          <w:rFonts w:hint="eastAsia"/>
          <w:sz w:val="24"/>
          <w:szCs w:val="24"/>
        </w:rPr>
        <w:t>6.3 印章保管部门：</w:t>
      </w:r>
    </w:p>
    <w:p>
      <w:pPr>
        <w:spacing w:line="360" w:lineRule="auto"/>
        <w:ind w:firstLine="480" w:firstLineChars="200"/>
        <w:rPr>
          <w:sz w:val="24"/>
          <w:szCs w:val="24"/>
        </w:rPr>
      </w:pPr>
      <w:r>
        <w:rPr>
          <w:rFonts w:hint="eastAsia"/>
          <w:sz w:val="24"/>
          <w:szCs w:val="24"/>
        </w:rPr>
        <w:t>6.3.1基金会公章由综合管理部保管；</w:t>
      </w:r>
    </w:p>
    <w:p>
      <w:pPr>
        <w:spacing w:line="360" w:lineRule="auto"/>
        <w:ind w:firstLine="480" w:firstLineChars="200"/>
        <w:rPr>
          <w:sz w:val="24"/>
          <w:szCs w:val="24"/>
        </w:rPr>
      </w:pPr>
      <w:r>
        <w:rPr>
          <w:rFonts w:hint="eastAsia"/>
          <w:sz w:val="24"/>
          <w:szCs w:val="24"/>
        </w:rPr>
        <w:t>6.3.2财务专用章和发票专用章由财务部门保管；</w:t>
      </w:r>
    </w:p>
    <w:p>
      <w:pPr>
        <w:spacing w:line="360" w:lineRule="auto"/>
        <w:ind w:firstLine="480" w:firstLineChars="200"/>
        <w:rPr>
          <w:sz w:val="24"/>
          <w:szCs w:val="24"/>
        </w:rPr>
      </w:pPr>
      <w:r>
        <w:rPr>
          <w:rFonts w:hint="eastAsia"/>
          <w:sz w:val="24"/>
          <w:szCs w:val="24"/>
        </w:rPr>
        <w:t>6.3.4法人名章，若为印鉴使用，则由秘书长委托财务部门专人保管；</w:t>
      </w:r>
    </w:p>
    <w:p>
      <w:pPr>
        <w:spacing w:line="360" w:lineRule="auto"/>
        <w:ind w:firstLine="480" w:firstLineChars="200"/>
        <w:rPr>
          <w:sz w:val="24"/>
          <w:szCs w:val="24"/>
        </w:rPr>
      </w:pPr>
      <w:r>
        <w:rPr>
          <w:rFonts w:hint="eastAsia"/>
          <w:sz w:val="24"/>
          <w:szCs w:val="24"/>
        </w:rPr>
        <w:t>6.4 印章由专人保管，在安全、加密柜、橱中存放，加盖印章须由印章保管人亲自操作，公文及重要印件须建档备查。</w:t>
      </w:r>
    </w:p>
    <w:p>
      <w:pPr>
        <w:spacing w:line="360" w:lineRule="auto"/>
        <w:ind w:firstLine="480" w:firstLineChars="200"/>
        <w:rPr>
          <w:sz w:val="24"/>
          <w:szCs w:val="24"/>
        </w:rPr>
      </w:pPr>
      <w:r>
        <w:rPr>
          <w:rFonts w:hint="eastAsia"/>
          <w:sz w:val="24"/>
          <w:szCs w:val="24"/>
        </w:rPr>
        <w:t>6.5 印章使用规则</w:t>
      </w:r>
    </w:p>
    <w:p>
      <w:pPr>
        <w:spacing w:line="360" w:lineRule="auto"/>
        <w:ind w:firstLine="480" w:firstLineChars="200"/>
        <w:rPr>
          <w:sz w:val="24"/>
          <w:szCs w:val="24"/>
        </w:rPr>
      </w:pPr>
      <w:r>
        <w:rPr>
          <w:rFonts w:hint="eastAsia"/>
          <w:sz w:val="24"/>
          <w:szCs w:val="24"/>
        </w:rPr>
        <w:t>6.5.1 印章需在规定范围内使用；</w:t>
      </w:r>
    </w:p>
    <w:p>
      <w:pPr>
        <w:spacing w:line="360" w:lineRule="auto"/>
        <w:ind w:firstLine="480" w:firstLineChars="200"/>
        <w:rPr>
          <w:sz w:val="24"/>
          <w:szCs w:val="24"/>
        </w:rPr>
      </w:pPr>
      <w:r>
        <w:rPr>
          <w:rFonts w:hint="eastAsia"/>
          <w:sz w:val="24"/>
          <w:szCs w:val="24"/>
        </w:rPr>
        <w:t>6.5.2 印章需严格按照审批规则，审批通过后方可使用；</w:t>
      </w:r>
    </w:p>
    <w:p>
      <w:pPr>
        <w:spacing w:line="360" w:lineRule="auto"/>
        <w:ind w:firstLine="480" w:firstLineChars="200"/>
        <w:rPr>
          <w:sz w:val="24"/>
          <w:szCs w:val="24"/>
        </w:rPr>
      </w:pPr>
      <w:r>
        <w:rPr>
          <w:rFonts w:hint="eastAsia"/>
          <w:sz w:val="24"/>
          <w:szCs w:val="24"/>
        </w:rPr>
        <w:t>6.5.3 实行印章使用登记备案制度，记录每次印章使用相关信息，综合管理部负责统一登记。</w:t>
      </w:r>
    </w:p>
    <w:p>
      <w:pPr>
        <w:spacing w:line="360" w:lineRule="auto"/>
        <w:ind w:firstLine="480" w:firstLineChars="200"/>
        <w:rPr>
          <w:sz w:val="24"/>
          <w:szCs w:val="24"/>
        </w:rPr>
      </w:pPr>
      <w:r>
        <w:rPr>
          <w:rFonts w:hint="eastAsia"/>
          <w:sz w:val="24"/>
          <w:szCs w:val="24"/>
        </w:rPr>
        <w:t>6.6当名称变更或机构撤销时，印章即行停用。停用印章要发文通知有关单位，并在通知中说明原因。</w:t>
      </w:r>
    </w:p>
    <w:p>
      <w:pPr>
        <w:spacing w:line="360" w:lineRule="auto"/>
        <w:ind w:firstLine="480" w:firstLineChars="200"/>
        <w:rPr>
          <w:sz w:val="24"/>
          <w:szCs w:val="24"/>
        </w:rPr>
      </w:pPr>
      <w:r>
        <w:rPr>
          <w:rFonts w:hint="eastAsia"/>
          <w:sz w:val="24"/>
          <w:szCs w:val="24"/>
        </w:rPr>
        <w:t>6.7未经相应批准程序使用印章或伪制印章，要追究当事人的相应责任；造成严重后果的，要提请有关机关追究当事人的法律责任。</w:t>
      </w:r>
    </w:p>
    <w:p>
      <w:pPr>
        <w:spacing w:line="360" w:lineRule="auto"/>
        <w:ind w:firstLine="480" w:firstLineChars="200"/>
        <w:rPr>
          <w:sz w:val="24"/>
          <w:szCs w:val="24"/>
        </w:rPr>
      </w:pPr>
      <w:r>
        <w:rPr>
          <w:rFonts w:hint="eastAsia"/>
          <w:sz w:val="24"/>
          <w:szCs w:val="24"/>
        </w:rPr>
        <w:t>6.8对暂停使用的印章，由综合管理部封存，旧印章在变更新章后上交，或经秘书长办公会批准后销毁。</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7．差旅管理</w:t>
      </w:r>
    </w:p>
    <w:p>
      <w:pPr>
        <w:spacing w:line="360" w:lineRule="auto"/>
        <w:ind w:firstLine="480" w:firstLineChars="200"/>
        <w:rPr>
          <w:sz w:val="24"/>
          <w:szCs w:val="24"/>
        </w:rPr>
      </w:pPr>
      <w:r>
        <w:rPr>
          <w:rFonts w:hint="eastAsia"/>
          <w:sz w:val="24"/>
          <w:szCs w:val="24"/>
        </w:rPr>
        <w:t>7.1差旅的定义</w:t>
      </w:r>
    </w:p>
    <w:p>
      <w:pPr>
        <w:spacing w:line="360" w:lineRule="auto"/>
        <w:ind w:firstLine="480" w:firstLineChars="200"/>
        <w:rPr>
          <w:sz w:val="24"/>
          <w:szCs w:val="24"/>
        </w:rPr>
      </w:pPr>
      <w:r>
        <w:rPr>
          <w:rFonts w:hint="eastAsia"/>
          <w:sz w:val="24"/>
          <w:szCs w:val="24"/>
        </w:rPr>
        <w:t>7.1.1离开本市范围，因项目需要外出公干一天或以上。</w:t>
      </w:r>
    </w:p>
    <w:p>
      <w:pPr>
        <w:spacing w:line="360" w:lineRule="auto"/>
        <w:ind w:firstLine="480" w:firstLineChars="200"/>
        <w:rPr>
          <w:sz w:val="24"/>
          <w:szCs w:val="24"/>
        </w:rPr>
      </w:pPr>
      <w:r>
        <w:rPr>
          <w:rFonts w:hint="eastAsia"/>
          <w:sz w:val="24"/>
          <w:szCs w:val="24"/>
        </w:rPr>
        <w:t>7.2申请程序</w:t>
      </w:r>
    </w:p>
    <w:p>
      <w:pPr>
        <w:spacing w:line="360" w:lineRule="auto"/>
        <w:ind w:firstLine="480" w:firstLineChars="200"/>
        <w:rPr>
          <w:sz w:val="24"/>
          <w:szCs w:val="24"/>
        </w:rPr>
      </w:pPr>
      <w:r>
        <w:rPr>
          <w:rFonts w:hint="eastAsia"/>
          <w:sz w:val="24"/>
          <w:szCs w:val="24"/>
        </w:rPr>
        <w:t>7.2.1出差前，须提前向部门负责人提出申请，填写《出差申请表》，注明出差时间、地点、事由、费用预算等，经批准后方可出差。</w:t>
      </w:r>
    </w:p>
    <w:p>
      <w:pPr>
        <w:spacing w:line="360" w:lineRule="auto"/>
        <w:ind w:firstLine="480" w:firstLineChars="200"/>
        <w:rPr>
          <w:sz w:val="24"/>
          <w:szCs w:val="24"/>
        </w:rPr>
      </w:pPr>
      <w:r>
        <w:rPr>
          <w:rFonts w:hint="eastAsia"/>
          <w:sz w:val="24"/>
          <w:szCs w:val="24"/>
        </w:rPr>
        <w:t>7.2.2出差返回后，应在五个工作日内填写与提交《费用报销单》，附上完整、正规的发票单据及并遵循相关程序审批报销；</w:t>
      </w:r>
    </w:p>
    <w:p>
      <w:pPr>
        <w:spacing w:line="360" w:lineRule="auto"/>
        <w:ind w:firstLine="480" w:firstLineChars="200"/>
        <w:rPr>
          <w:sz w:val="24"/>
          <w:szCs w:val="24"/>
        </w:rPr>
      </w:pPr>
      <w:r>
        <w:rPr>
          <w:rFonts w:hint="eastAsia"/>
          <w:sz w:val="24"/>
          <w:szCs w:val="24"/>
        </w:rPr>
        <w:t>7.3 差旅费用标准及注意事项</w:t>
      </w:r>
    </w:p>
    <w:p>
      <w:pPr>
        <w:spacing w:line="360" w:lineRule="auto"/>
        <w:ind w:firstLine="480" w:firstLineChars="200"/>
        <w:rPr>
          <w:sz w:val="24"/>
          <w:szCs w:val="24"/>
        </w:rPr>
      </w:pPr>
      <w:r>
        <w:rPr>
          <w:rFonts w:hint="eastAsia"/>
          <w:sz w:val="24"/>
          <w:szCs w:val="24"/>
        </w:rPr>
        <w:t>7.3.1 员工出差尽可能利用经济便利的公共交通工具，费用据实报销，员工如需使用包车，应报主管领导批准，说明理由；报销时，须注明事由、起始时间和地点；</w:t>
      </w:r>
    </w:p>
    <w:p>
      <w:pPr>
        <w:spacing w:line="360" w:lineRule="auto"/>
        <w:ind w:firstLine="480" w:firstLineChars="200"/>
        <w:rPr>
          <w:sz w:val="24"/>
          <w:szCs w:val="24"/>
        </w:rPr>
      </w:pPr>
      <w:r>
        <w:rPr>
          <w:rFonts w:hint="eastAsia"/>
          <w:sz w:val="24"/>
          <w:szCs w:val="24"/>
        </w:rPr>
        <w:t>7.3.2所有预支的差旅费应在出差返回后5个工作日内结清，前款不清，后款不借；</w:t>
      </w:r>
    </w:p>
    <w:p>
      <w:pPr>
        <w:spacing w:line="360" w:lineRule="auto"/>
        <w:ind w:firstLine="480" w:firstLineChars="200"/>
        <w:rPr>
          <w:sz w:val="24"/>
          <w:szCs w:val="24"/>
        </w:rPr>
      </w:pPr>
      <w:r>
        <w:rPr>
          <w:rFonts w:hint="eastAsia"/>
          <w:sz w:val="24"/>
          <w:szCs w:val="24"/>
        </w:rPr>
        <w:t>7.3.3本着节约、合理的原则，在限定的标准内据实报销；</w:t>
      </w:r>
    </w:p>
    <w:p>
      <w:pPr>
        <w:spacing w:line="360" w:lineRule="auto"/>
        <w:ind w:firstLine="480" w:firstLineChars="200"/>
        <w:rPr>
          <w:sz w:val="24"/>
          <w:szCs w:val="24"/>
        </w:rPr>
      </w:pPr>
      <w:r>
        <w:rPr>
          <w:rFonts w:hint="eastAsia"/>
          <w:sz w:val="24"/>
          <w:szCs w:val="24"/>
        </w:rPr>
        <w:t>7.3.4凡到外地参加会议、商务洽谈、培训等，费用参照出差标准。若会务费中包含食宿费用的，不作重复报销。</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8．会议管理</w:t>
      </w:r>
    </w:p>
    <w:p>
      <w:pPr>
        <w:spacing w:line="360" w:lineRule="auto"/>
        <w:ind w:firstLine="480" w:firstLineChars="200"/>
        <w:rPr>
          <w:sz w:val="24"/>
          <w:szCs w:val="24"/>
        </w:rPr>
      </w:pPr>
      <w:r>
        <w:rPr>
          <w:rFonts w:hint="eastAsia"/>
          <w:sz w:val="24"/>
          <w:szCs w:val="24"/>
        </w:rPr>
        <w:t>8.1本基金会会议分为外部会议和内部会议两大类，分别由不同部门负责组织和实施：</w:t>
      </w:r>
    </w:p>
    <w:p>
      <w:pPr>
        <w:spacing w:line="360" w:lineRule="auto"/>
        <w:ind w:firstLine="480" w:firstLineChars="200"/>
        <w:rPr>
          <w:sz w:val="24"/>
          <w:szCs w:val="24"/>
        </w:rPr>
      </w:pPr>
      <w:r>
        <w:rPr>
          <w:rFonts w:hint="eastAsia"/>
          <w:sz w:val="24"/>
          <w:szCs w:val="24"/>
        </w:rPr>
        <w:t>8.1.1 外部会议由主导部门进行实地考察、布置、现场管理，如需综合管理部协调、协助，可提前联络以作对应；</w:t>
      </w:r>
    </w:p>
    <w:p>
      <w:pPr>
        <w:spacing w:line="360" w:lineRule="auto"/>
        <w:ind w:firstLine="480" w:firstLineChars="200"/>
        <w:rPr>
          <w:sz w:val="24"/>
          <w:szCs w:val="24"/>
        </w:rPr>
      </w:pPr>
      <w:r>
        <w:rPr>
          <w:rFonts w:hint="eastAsia"/>
          <w:sz w:val="24"/>
          <w:szCs w:val="24"/>
        </w:rPr>
        <w:t>8.1.2 内部会议由综合管理部或各部门行政人员统筹组织，安排；</w:t>
      </w:r>
    </w:p>
    <w:p>
      <w:pPr>
        <w:spacing w:line="360" w:lineRule="auto"/>
        <w:ind w:firstLine="480" w:firstLineChars="200"/>
        <w:rPr>
          <w:sz w:val="24"/>
          <w:szCs w:val="24"/>
        </w:rPr>
      </w:pPr>
      <w:r>
        <w:rPr>
          <w:rFonts w:hint="eastAsia"/>
          <w:sz w:val="24"/>
          <w:szCs w:val="24"/>
        </w:rPr>
        <w:t>8.1.3 各职能部门专题会议，由所属部门自行规划安排，如需综合管理部协调，可提前联络以作对应。</w:t>
      </w:r>
    </w:p>
    <w:p>
      <w:pPr>
        <w:spacing w:line="360" w:lineRule="auto"/>
        <w:ind w:firstLine="480" w:firstLineChars="200"/>
        <w:rPr>
          <w:sz w:val="24"/>
          <w:szCs w:val="24"/>
        </w:rPr>
      </w:pPr>
      <w:r>
        <w:rPr>
          <w:rFonts w:hint="eastAsia"/>
          <w:sz w:val="24"/>
          <w:szCs w:val="24"/>
        </w:rPr>
        <w:t>8.2会议管理的目的</w:t>
      </w:r>
    </w:p>
    <w:p>
      <w:pPr>
        <w:spacing w:line="360" w:lineRule="auto"/>
        <w:ind w:firstLine="480" w:firstLineChars="200"/>
        <w:rPr>
          <w:sz w:val="24"/>
          <w:szCs w:val="24"/>
        </w:rPr>
      </w:pPr>
      <w:r>
        <w:rPr>
          <w:rFonts w:hint="eastAsia"/>
          <w:sz w:val="24"/>
          <w:szCs w:val="24"/>
        </w:rPr>
        <w:t>8.2.1实现有效管理，促进本基金会上下的沟通与合作；</w:t>
      </w:r>
    </w:p>
    <w:p>
      <w:pPr>
        <w:spacing w:line="360" w:lineRule="auto"/>
        <w:ind w:firstLine="480" w:firstLineChars="200"/>
        <w:rPr>
          <w:sz w:val="24"/>
          <w:szCs w:val="24"/>
        </w:rPr>
      </w:pPr>
      <w:r>
        <w:rPr>
          <w:rFonts w:hint="eastAsia"/>
          <w:sz w:val="24"/>
          <w:szCs w:val="24"/>
        </w:rPr>
        <w:t>8.2.2提高员工执行工作目标的效率，跟进员工工作进度；</w:t>
      </w:r>
    </w:p>
    <w:p>
      <w:pPr>
        <w:spacing w:line="360" w:lineRule="auto"/>
        <w:ind w:firstLine="480" w:firstLineChars="200"/>
        <w:rPr>
          <w:sz w:val="24"/>
          <w:szCs w:val="24"/>
        </w:rPr>
      </w:pPr>
      <w:r>
        <w:rPr>
          <w:rFonts w:hint="eastAsia"/>
          <w:sz w:val="24"/>
          <w:szCs w:val="24"/>
        </w:rPr>
        <w:t>8.2.3集思广益，提出改进性的工作方案；</w:t>
      </w:r>
    </w:p>
    <w:p>
      <w:pPr>
        <w:spacing w:line="360" w:lineRule="auto"/>
        <w:ind w:firstLine="480" w:firstLineChars="200"/>
        <w:rPr>
          <w:sz w:val="24"/>
          <w:szCs w:val="24"/>
        </w:rPr>
      </w:pPr>
      <w:r>
        <w:rPr>
          <w:rFonts w:hint="eastAsia"/>
          <w:sz w:val="24"/>
          <w:szCs w:val="24"/>
        </w:rPr>
        <w:t>8.2.4协调员工的工作方法、工作进度及人员调配；</w:t>
      </w:r>
    </w:p>
    <w:p>
      <w:pPr>
        <w:spacing w:line="360" w:lineRule="auto"/>
        <w:ind w:firstLine="480" w:firstLineChars="200"/>
        <w:rPr>
          <w:sz w:val="24"/>
          <w:szCs w:val="24"/>
        </w:rPr>
      </w:pPr>
      <w:r>
        <w:rPr>
          <w:rFonts w:hint="eastAsia"/>
          <w:sz w:val="24"/>
          <w:szCs w:val="24"/>
        </w:rPr>
        <w:t>8.2.5形成规范制度，实现机构的可持续发展；</w:t>
      </w:r>
    </w:p>
    <w:p>
      <w:pPr>
        <w:spacing w:line="360" w:lineRule="auto"/>
        <w:ind w:firstLine="480" w:firstLineChars="200"/>
        <w:rPr>
          <w:sz w:val="24"/>
          <w:szCs w:val="24"/>
        </w:rPr>
      </w:pPr>
      <w:r>
        <w:rPr>
          <w:rFonts w:hint="eastAsia"/>
          <w:sz w:val="24"/>
          <w:szCs w:val="24"/>
        </w:rPr>
        <w:t>8.3 根据会议类型的不同，需要做好会议筹备与安排，包括明确会议时间地点和会议主持人、参加人、列席人员，提前确认会议内容和议程安排；</w:t>
      </w:r>
    </w:p>
    <w:p>
      <w:pPr>
        <w:spacing w:line="360" w:lineRule="auto"/>
        <w:ind w:firstLine="480" w:firstLineChars="200"/>
        <w:rPr>
          <w:sz w:val="24"/>
          <w:szCs w:val="24"/>
        </w:rPr>
      </w:pPr>
      <w:r>
        <w:rPr>
          <w:rFonts w:hint="eastAsia"/>
          <w:sz w:val="24"/>
          <w:szCs w:val="24"/>
        </w:rPr>
        <w:t>8.4 会议根据目标和内容的不同，均需遵照会议纪律，做好会议记录，并有效跟进会议讨论决议的落实，确保会议目标有效实现。</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9．固定资产管理</w:t>
      </w:r>
    </w:p>
    <w:p>
      <w:pPr>
        <w:spacing w:line="360" w:lineRule="auto"/>
        <w:ind w:firstLine="480" w:firstLineChars="200"/>
        <w:rPr>
          <w:sz w:val="24"/>
          <w:szCs w:val="24"/>
        </w:rPr>
      </w:pPr>
      <w:r>
        <w:rPr>
          <w:rFonts w:hint="eastAsia"/>
          <w:sz w:val="24"/>
          <w:szCs w:val="24"/>
        </w:rPr>
        <w:t>9.1 固定资产类别：使用期限超过一年且单价在人民币2,000 元以上（含2,000 元）的房屋、建筑物、机器、设备、用具、运输工具等。</w:t>
      </w:r>
    </w:p>
    <w:p>
      <w:pPr>
        <w:spacing w:line="360" w:lineRule="auto"/>
        <w:ind w:firstLine="480" w:firstLineChars="200"/>
        <w:rPr>
          <w:sz w:val="24"/>
          <w:szCs w:val="24"/>
        </w:rPr>
      </w:pPr>
      <w:r>
        <w:rPr>
          <w:rFonts w:hint="eastAsia"/>
          <w:sz w:val="24"/>
          <w:szCs w:val="24"/>
        </w:rPr>
        <w:t>9.2 管理分工</w:t>
      </w:r>
    </w:p>
    <w:p>
      <w:pPr>
        <w:spacing w:line="360" w:lineRule="auto"/>
        <w:ind w:firstLine="480" w:firstLineChars="200"/>
        <w:rPr>
          <w:sz w:val="24"/>
          <w:szCs w:val="24"/>
        </w:rPr>
      </w:pPr>
      <w:r>
        <w:rPr>
          <w:rFonts w:hint="eastAsia"/>
          <w:sz w:val="24"/>
          <w:szCs w:val="24"/>
        </w:rPr>
        <w:t>9.2.1 综合管理部固定资产统筹管理部门，负责购置、安装、维护和并建立编号、账册；</w:t>
      </w:r>
    </w:p>
    <w:p>
      <w:pPr>
        <w:spacing w:line="360" w:lineRule="auto"/>
        <w:ind w:firstLine="480" w:firstLineChars="200"/>
        <w:rPr>
          <w:sz w:val="24"/>
          <w:szCs w:val="24"/>
        </w:rPr>
      </w:pPr>
      <w:r>
        <w:rPr>
          <w:rFonts w:hint="eastAsia"/>
          <w:sz w:val="24"/>
          <w:szCs w:val="24"/>
        </w:rPr>
        <w:t>9.2.2 使用部门及使用个人负责固定资产的日常管理及故障的报修；</w:t>
      </w:r>
    </w:p>
    <w:p>
      <w:pPr>
        <w:spacing w:line="360" w:lineRule="auto"/>
        <w:ind w:firstLine="480" w:firstLineChars="200"/>
        <w:rPr>
          <w:sz w:val="24"/>
          <w:szCs w:val="24"/>
        </w:rPr>
      </w:pPr>
      <w:r>
        <w:rPr>
          <w:rFonts w:hint="eastAsia"/>
          <w:sz w:val="24"/>
          <w:szCs w:val="24"/>
        </w:rPr>
        <w:t>9.2.3 财务部实施固定资产财务入账；</w:t>
      </w:r>
    </w:p>
    <w:p>
      <w:pPr>
        <w:spacing w:line="360" w:lineRule="auto"/>
        <w:ind w:firstLine="480" w:firstLineChars="200"/>
        <w:rPr>
          <w:sz w:val="24"/>
          <w:szCs w:val="24"/>
        </w:rPr>
      </w:pPr>
      <w:r>
        <w:rPr>
          <w:rFonts w:hint="eastAsia"/>
          <w:sz w:val="24"/>
          <w:szCs w:val="24"/>
        </w:rPr>
        <w:t>9.2.4 各部门各司其职，有效负责起固定资金的合理使用与有效管理。</w:t>
      </w:r>
    </w:p>
    <w:p>
      <w:pPr>
        <w:spacing w:line="360" w:lineRule="auto"/>
        <w:ind w:firstLine="480" w:firstLineChars="200"/>
        <w:rPr>
          <w:sz w:val="24"/>
          <w:szCs w:val="24"/>
        </w:rPr>
      </w:pPr>
      <w:r>
        <w:rPr>
          <w:rFonts w:hint="eastAsia"/>
          <w:sz w:val="24"/>
          <w:szCs w:val="24"/>
        </w:rPr>
        <w:t>9. 3 固定资产的管理</w:t>
      </w:r>
    </w:p>
    <w:p>
      <w:pPr>
        <w:spacing w:line="360" w:lineRule="auto"/>
        <w:ind w:firstLine="480" w:firstLineChars="200"/>
        <w:rPr>
          <w:sz w:val="24"/>
          <w:szCs w:val="24"/>
        </w:rPr>
      </w:pPr>
      <w:r>
        <w:rPr>
          <w:rFonts w:hint="eastAsia"/>
          <w:sz w:val="24"/>
          <w:szCs w:val="24"/>
        </w:rPr>
        <w:t>9.3.1 固定资产均需按照规定流程进行购置、验收、领用、调拨、转移、封存与作废；</w:t>
      </w:r>
    </w:p>
    <w:p>
      <w:pPr>
        <w:spacing w:line="360" w:lineRule="auto"/>
        <w:ind w:firstLine="480" w:firstLineChars="200"/>
        <w:rPr>
          <w:sz w:val="24"/>
          <w:szCs w:val="24"/>
        </w:rPr>
      </w:pPr>
      <w:r>
        <w:rPr>
          <w:rFonts w:hint="eastAsia"/>
          <w:sz w:val="24"/>
          <w:szCs w:val="24"/>
        </w:rPr>
        <w:t>9.3.2 固定资产进行定期清查、盘点，掌握固定资产的实有数量，保证账实相符；</w:t>
      </w:r>
    </w:p>
    <w:p>
      <w:pPr>
        <w:spacing w:line="360" w:lineRule="auto"/>
        <w:ind w:firstLine="480" w:firstLineChars="200"/>
        <w:rPr>
          <w:sz w:val="24"/>
          <w:szCs w:val="24"/>
        </w:rPr>
      </w:pPr>
      <w:r>
        <w:rPr>
          <w:rFonts w:hint="eastAsia"/>
          <w:sz w:val="24"/>
          <w:szCs w:val="24"/>
        </w:rPr>
        <w:t>9.3.3 基金会统一使用的公用物品由行政人员负责统一采购、发放、保管、回收。</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10. 办公用品管理</w:t>
      </w:r>
    </w:p>
    <w:p>
      <w:pPr>
        <w:spacing w:line="360" w:lineRule="auto"/>
        <w:ind w:firstLine="480" w:firstLineChars="200"/>
        <w:rPr>
          <w:sz w:val="24"/>
          <w:szCs w:val="24"/>
        </w:rPr>
      </w:pPr>
      <w:r>
        <w:rPr>
          <w:rFonts w:hint="eastAsia"/>
          <w:sz w:val="24"/>
          <w:szCs w:val="24"/>
        </w:rPr>
        <w:t>10.1 办公用品按使用的性质分为低值易耗品和高值耐用品两类。</w:t>
      </w:r>
    </w:p>
    <w:p>
      <w:pPr>
        <w:spacing w:line="360" w:lineRule="auto"/>
        <w:ind w:firstLine="480" w:firstLineChars="200"/>
        <w:rPr>
          <w:sz w:val="24"/>
          <w:szCs w:val="24"/>
        </w:rPr>
      </w:pPr>
      <w:r>
        <w:rPr>
          <w:rFonts w:hint="eastAsia"/>
          <w:sz w:val="24"/>
          <w:szCs w:val="24"/>
        </w:rPr>
        <w:t>10.2 员工应对办公用品本着勤俭节约、杜绝浪费的原则。办公用品应为办公所用，不得据为己有，挪作私用。</w:t>
      </w:r>
    </w:p>
    <w:p>
      <w:pPr>
        <w:spacing w:line="360" w:lineRule="auto"/>
        <w:ind w:firstLine="480" w:firstLineChars="200"/>
        <w:rPr>
          <w:sz w:val="24"/>
          <w:szCs w:val="24"/>
        </w:rPr>
      </w:pPr>
      <w:r>
        <w:rPr>
          <w:rFonts w:hint="eastAsia"/>
          <w:sz w:val="24"/>
          <w:szCs w:val="24"/>
        </w:rPr>
        <w:t>10.3 办公用品的管理统一归综合管理部。日常办公用品购买、入库和领用由前台负责统一管理。</w:t>
      </w:r>
    </w:p>
    <w:p>
      <w:pPr>
        <w:spacing w:line="360" w:lineRule="auto"/>
        <w:ind w:firstLine="480" w:firstLineChars="200"/>
        <w:rPr>
          <w:sz w:val="24"/>
          <w:szCs w:val="24"/>
        </w:rPr>
      </w:pPr>
      <w:r>
        <w:rPr>
          <w:rFonts w:hint="eastAsia"/>
          <w:sz w:val="24"/>
          <w:szCs w:val="24"/>
        </w:rPr>
        <w:t>10.4 办公用品需严格遵循规定的流程进行申请、采购和入库管理。</w:t>
      </w:r>
    </w:p>
    <w:p>
      <w:pPr>
        <w:spacing w:line="360" w:lineRule="auto"/>
        <w:ind w:firstLine="480" w:firstLineChars="200"/>
        <w:rPr>
          <w:sz w:val="24"/>
          <w:szCs w:val="24"/>
        </w:rPr>
      </w:pPr>
      <w:r>
        <w:rPr>
          <w:rFonts w:hint="eastAsia"/>
          <w:sz w:val="24"/>
          <w:szCs w:val="24"/>
        </w:rPr>
        <w:t>10.5 办公用品的保管须严谨规范，需按照规定程序进行领用、交接与收回。</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11．办公室行为规范</w:t>
      </w:r>
    </w:p>
    <w:p>
      <w:pPr>
        <w:spacing w:line="360" w:lineRule="auto"/>
        <w:ind w:firstLine="480" w:firstLineChars="200"/>
        <w:rPr>
          <w:sz w:val="24"/>
          <w:szCs w:val="24"/>
        </w:rPr>
      </w:pPr>
      <w:r>
        <w:rPr>
          <w:rFonts w:hint="eastAsia"/>
          <w:sz w:val="24"/>
          <w:szCs w:val="24"/>
        </w:rPr>
        <w:t>11.1主动维护良好的办公环境秩序；</w:t>
      </w:r>
    </w:p>
    <w:p>
      <w:pPr>
        <w:spacing w:line="360" w:lineRule="auto"/>
        <w:ind w:firstLine="480" w:firstLineChars="200"/>
        <w:rPr>
          <w:sz w:val="24"/>
          <w:szCs w:val="24"/>
        </w:rPr>
      </w:pPr>
      <w:r>
        <w:rPr>
          <w:rFonts w:hint="eastAsia"/>
          <w:sz w:val="24"/>
          <w:szCs w:val="24"/>
        </w:rPr>
        <w:t>11.2保持个人办公桌面、座椅周围地面干净、整洁；</w:t>
      </w:r>
    </w:p>
    <w:p>
      <w:pPr>
        <w:spacing w:line="360" w:lineRule="auto"/>
        <w:ind w:firstLine="480" w:firstLineChars="200"/>
        <w:rPr>
          <w:sz w:val="24"/>
          <w:szCs w:val="24"/>
        </w:rPr>
      </w:pPr>
      <w:r>
        <w:rPr>
          <w:rFonts w:hint="eastAsia"/>
          <w:sz w:val="24"/>
          <w:szCs w:val="24"/>
        </w:rPr>
        <w:t>11.3个人物品请放置个人办公区域，不在公共区域摆放；</w:t>
      </w:r>
    </w:p>
    <w:p>
      <w:pPr>
        <w:spacing w:line="360" w:lineRule="auto"/>
        <w:ind w:firstLine="480" w:firstLineChars="200"/>
        <w:rPr>
          <w:sz w:val="24"/>
          <w:szCs w:val="24"/>
        </w:rPr>
      </w:pPr>
      <w:r>
        <w:rPr>
          <w:rFonts w:hint="eastAsia"/>
          <w:sz w:val="24"/>
          <w:szCs w:val="24"/>
        </w:rPr>
        <w:t>11.4在公共区域使用任何物品，请物归原主；</w:t>
      </w:r>
    </w:p>
    <w:p>
      <w:pPr>
        <w:spacing w:line="360" w:lineRule="auto"/>
        <w:ind w:firstLine="480" w:firstLineChars="200"/>
        <w:rPr>
          <w:sz w:val="24"/>
          <w:szCs w:val="24"/>
        </w:rPr>
      </w:pPr>
      <w:r>
        <w:rPr>
          <w:rFonts w:hint="eastAsia"/>
          <w:sz w:val="24"/>
          <w:szCs w:val="24"/>
        </w:rPr>
        <w:t>11.5办公室内严禁吸烟；</w:t>
      </w:r>
    </w:p>
    <w:p>
      <w:pPr>
        <w:spacing w:line="360" w:lineRule="auto"/>
        <w:ind w:firstLine="480" w:firstLineChars="200"/>
        <w:rPr>
          <w:sz w:val="24"/>
          <w:szCs w:val="24"/>
        </w:rPr>
      </w:pPr>
      <w:r>
        <w:rPr>
          <w:rFonts w:hint="eastAsia"/>
          <w:sz w:val="24"/>
          <w:szCs w:val="24"/>
        </w:rPr>
        <w:t>11.6办公网络使用期间，不浏览、不下载与工作无关的任何视频、图片等；</w:t>
      </w:r>
    </w:p>
    <w:p>
      <w:pPr>
        <w:spacing w:line="360" w:lineRule="auto"/>
        <w:ind w:firstLine="480" w:firstLineChars="200"/>
        <w:rPr>
          <w:sz w:val="24"/>
          <w:szCs w:val="24"/>
        </w:rPr>
      </w:pPr>
      <w:r>
        <w:rPr>
          <w:rFonts w:hint="eastAsia"/>
          <w:sz w:val="24"/>
          <w:szCs w:val="24"/>
        </w:rPr>
        <w:t>11.7建设与保持团结、互助、尊重、信任、营造相互信赖的工作气氛；</w:t>
      </w:r>
    </w:p>
    <w:p>
      <w:pPr>
        <w:spacing w:line="360" w:lineRule="auto"/>
        <w:ind w:firstLine="480" w:firstLineChars="200"/>
        <w:rPr>
          <w:sz w:val="24"/>
          <w:szCs w:val="24"/>
        </w:rPr>
      </w:pPr>
      <w:r>
        <w:rPr>
          <w:rFonts w:hint="eastAsia"/>
          <w:sz w:val="24"/>
          <w:szCs w:val="24"/>
        </w:rPr>
        <w:t>11.8资源善用、成本节约；</w:t>
      </w:r>
    </w:p>
    <w:p>
      <w:pPr>
        <w:spacing w:line="360" w:lineRule="auto"/>
        <w:ind w:firstLine="480" w:firstLineChars="200"/>
        <w:rPr>
          <w:sz w:val="24"/>
          <w:szCs w:val="24"/>
        </w:rPr>
      </w:pPr>
      <w:r>
        <w:rPr>
          <w:rFonts w:hint="eastAsia"/>
          <w:sz w:val="24"/>
          <w:szCs w:val="24"/>
        </w:rPr>
        <w:t>11.9工作语言沟通亲切、诚意、谦虚；</w:t>
      </w:r>
    </w:p>
    <w:p>
      <w:pPr>
        <w:spacing w:line="360" w:lineRule="auto"/>
        <w:ind w:firstLine="480" w:firstLineChars="200"/>
        <w:rPr>
          <w:sz w:val="24"/>
          <w:szCs w:val="24"/>
        </w:rPr>
      </w:pPr>
      <w:r>
        <w:rPr>
          <w:rFonts w:hint="eastAsia"/>
          <w:sz w:val="24"/>
          <w:szCs w:val="24"/>
        </w:rPr>
        <w:t>11.10接待来访人员、保持热情、真诚；</w:t>
      </w:r>
    </w:p>
    <w:p>
      <w:pPr>
        <w:spacing w:line="360" w:lineRule="auto"/>
        <w:ind w:firstLine="480" w:firstLineChars="200"/>
        <w:rPr>
          <w:sz w:val="24"/>
          <w:szCs w:val="24"/>
        </w:rPr>
      </w:pPr>
      <w:r>
        <w:rPr>
          <w:rFonts w:hint="eastAsia"/>
          <w:sz w:val="24"/>
          <w:szCs w:val="24"/>
        </w:rPr>
        <w:t>11.11接听工作电话，尽量在铃声响三声内接听，先说“您好！”；</w:t>
      </w:r>
    </w:p>
    <w:p>
      <w:pPr>
        <w:spacing w:line="360" w:lineRule="auto"/>
        <w:ind w:firstLine="480" w:firstLineChars="200"/>
        <w:rPr>
          <w:sz w:val="24"/>
          <w:szCs w:val="24"/>
        </w:rPr>
      </w:pPr>
      <w:r>
        <w:rPr>
          <w:rFonts w:hint="eastAsia"/>
          <w:sz w:val="24"/>
          <w:szCs w:val="24"/>
        </w:rPr>
        <w:t>11.12相互合作，当意见或主张不一致时，应理解相互的立场，积极寻求合作解决方案，面对面沟通，避免争执；</w:t>
      </w:r>
    </w:p>
    <w:p>
      <w:pPr>
        <w:spacing w:line="360" w:lineRule="auto"/>
        <w:ind w:firstLine="480" w:firstLineChars="200"/>
        <w:rPr>
          <w:sz w:val="24"/>
          <w:szCs w:val="24"/>
        </w:rPr>
      </w:pPr>
      <w:r>
        <w:rPr>
          <w:rFonts w:hint="eastAsia"/>
          <w:sz w:val="24"/>
          <w:szCs w:val="24"/>
        </w:rPr>
        <w:t>11.13做到上传下达、信息畅通、各尽其职、履行工作职责；</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12．礼品、纪念品管理</w:t>
      </w:r>
    </w:p>
    <w:p>
      <w:pPr>
        <w:spacing w:line="360" w:lineRule="auto"/>
        <w:ind w:firstLine="480" w:firstLineChars="200"/>
        <w:rPr>
          <w:sz w:val="24"/>
          <w:szCs w:val="24"/>
        </w:rPr>
      </w:pPr>
      <w:r>
        <w:rPr>
          <w:rFonts w:hint="eastAsia"/>
          <w:sz w:val="24"/>
          <w:szCs w:val="24"/>
        </w:rPr>
        <w:t>12.1基金会礼品和纪念品由综合各管理部统一购买或制作。</w:t>
      </w:r>
    </w:p>
    <w:p>
      <w:pPr>
        <w:spacing w:line="360" w:lineRule="auto"/>
        <w:ind w:firstLine="480" w:firstLineChars="200"/>
        <w:rPr>
          <w:sz w:val="24"/>
          <w:szCs w:val="24"/>
        </w:rPr>
      </w:pPr>
      <w:r>
        <w:rPr>
          <w:rFonts w:hint="eastAsia"/>
          <w:sz w:val="24"/>
          <w:szCs w:val="24"/>
        </w:rPr>
        <w:t>12.2礼品、纪念品由综合管理部统一管理，负责登记、保管、发放。</w:t>
      </w:r>
    </w:p>
    <w:p>
      <w:pPr>
        <w:spacing w:line="360" w:lineRule="auto"/>
        <w:ind w:firstLine="480" w:firstLineChars="200"/>
        <w:rPr>
          <w:sz w:val="24"/>
          <w:szCs w:val="24"/>
        </w:rPr>
      </w:pPr>
      <w:r>
        <w:rPr>
          <w:rFonts w:hint="eastAsia"/>
          <w:sz w:val="24"/>
          <w:szCs w:val="24"/>
        </w:rPr>
        <w:t>12.3礼品、纪念品应根据种类逐项登记，并同时进行数量统计。</w:t>
      </w:r>
    </w:p>
    <w:p>
      <w:pPr>
        <w:spacing w:line="360" w:lineRule="auto"/>
        <w:ind w:firstLine="480" w:firstLineChars="200"/>
        <w:rPr>
          <w:sz w:val="24"/>
          <w:szCs w:val="24"/>
        </w:rPr>
      </w:pPr>
      <w:r>
        <w:rPr>
          <w:rFonts w:hint="eastAsia"/>
          <w:sz w:val="24"/>
          <w:szCs w:val="24"/>
        </w:rPr>
        <w:t>12.4严格控制礼品、纪念品的发放范围。礼品、纪念品应视工作需要合理发放，主要馈赠各类合作伙伴以及对基金会工作给予帮助和支持的机构和个人。不得铺张浪费，不得假公济私，更不能以此作为基金会工作人员的福利待遇。</w:t>
      </w:r>
    </w:p>
    <w:p>
      <w:pPr>
        <w:spacing w:line="360" w:lineRule="auto"/>
        <w:ind w:firstLine="480" w:firstLineChars="200"/>
        <w:rPr>
          <w:sz w:val="24"/>
          <w:szCs w:val="24"/>
        </w:rPr>
      </w:pPr>
      <w:r>
        <w:rPr>
          <w:rFonts w:hint="eastAsia"/>
          <w:sz w:val="24"/>
          <w:szCs w:val="24"/>
        </w:rPr>
        <w:t>12.5领取礼品、纪念品需办理登记手续，由领取人填写《礼品/纪念品申领单》。</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13．附则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r>
        <w:rPr>
          <w:sz w:val="24"/>
          <w:szCs w:val="24"/>
        </w:rPr>
        <w:t xml:space="preserve"> </w:t>
      </w:r>
    </w:p>
    <w:p>
      <w:pPr>
        <w:spacing w:before="156" w:beforeLines="50" w:after="312" w:afterLines="100" w:line="360" w:lineRule="auto"/>
        <w:outlineLvl w:val="1"/>
        <w:rPr>
          <w:sz w:val="24"/>
          <w:szCs w:val="24"/>
        </w:rPr>
      </w:pPr>
    </w:p>
    <w:p>
      <w:pPr>
        <w:spacing w:before="156" w:beforeLines="50" w:after="312" w:afterLines="100" w:line="360" w:lineRule="auto"/>
        <w:outlineLvl w:val="1"/>
        <w:rPr>
          <w:sz w:val="24"/>
          <w:szCs w:val="24"/>
        </w:rPr>
      </w:pPr>
    </w:p>
    <w:p>
      <w:pPr>
        <w:spacing w:before="156" w:beforeLines="50" w:after="312" w:afterLines="100" w:line="360" w:lineRule="auto"/>
        <w:outlineLvl w:val="1"/>
        <w:rPr>
          <w:sz w:val="24"/>
          <w:szCs w:val="24"/>
        </w:rPr>
      </w:pPr>
    </w:p>
    <w:p>
      <w:pPr>
        <w:spacing w:before="156" w:beforeLines="50" w:after="312" w:afterLines="100" w:line="360" w:lineRule="auto"/>
        <w:outlineLvl w:val="1"/>
        <w:rPr>
          <w:sz w:val="24"/>
          <w:szCs w:val="24"/>
        </w:rPr>
      </w:pPr>
    </w:p>
    <w:p>
      <w:pPr>
        <w:spacing w:before="156" w:beforeLines="50" w:after="156" w:afterLines="50" w:line="360" w:lineRule="auto"/>
        <w:jc w:val="center"/>
        <w:outlineLvl w:val="1"/>
        <w:rPr>
          <w:rFonts w:ascii="黑体" w:hAnsi="黑体" w:eastAsia="黑体"/>
          <w:b/>
          <w:sz w:val="32"/>
          <w:szCs w:val="32"/>
        </w:rPr>
      </w:pPr>
      <w:bookmarkStart w:id="4" w:name="_Toc403829176"/>
      <w:bookmarkStart w:id="5" w:name="_Toc24345"/>
      <w:r>
        <w:rPr>
          <w:rFonts w:hint="eastAsia" w:ascii="黑体" w:hAnsi="黑体" w:eastAsia="黑体"/>
          <w:b/>
          <w:sz w:val="32"/>
          <w:szCs w:val="32"/>
        </w:rPr>
        <w:t xml:space="preserve">三 </w:t>
      </w:r>
      <w:r>
        <w:rPr>
          <w:rFonts w:hint="eastAsia" w:ascii="黑体" w:hAnsi="黑体" w:eastAsia="黑体"/>
          <w:b/>
          <w:sz w:val="32"/>
          <w:szCs w:val="32"/>
          <w:lang w:eastAsia="zh-CN"/>
        </w:rPr>
        <w:t>北京天地文化发展</w:t>
      </w:r>
      <w:r>
        <w:rPr>
          <w:rFonts w:hint="eastAsia" w:ascii="黑体" w:hAnsi="黑体" w:eastAsia="黑体"/>
          <w:b/>
          <w:sz w:val="32"/>
          <w:szCs w:val="32"/>
        </w:rPr>
        <w:t>基金会理事会制度</w:t>
      </w:r>
      <w:bookmarkEnd w:id="4"/>
      <w:bookmarkEnd w:id="5"/>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1.1为规范</w:t>
      </w:r>
      <w:r>
        <w:rPr>
          <w:rFonts w:hint="eastAsia"/>
          <w:sz w:val="24"/>
          <w:szCs w:val="24"/>
          <w:lang w:eastAsia="zh-CN"/>
        </w:rPr>
        <w:t>北京天地文化发展</w:t>
      </w:r>
      <w:r>
        <w:rPr>
          <w:rFonts w:hint="eastAsia"/>
          <w:sz w:val="24"/>
          <w:szCs w:val="24"/>
        </w:rPr>
        <w:t>基金会（以下简称“本基金会”）理事会的组建方式、决策程序和管理行为，保证理事会依法行使职权、履行职责，依据《中华人民共和国慈善法》、《基金会管理条例》等法律法规和《</w:t>
      </w:r>
      <w:r>
        <w:rPr>
          <w:rFonts w:hint="eastAsia"/>
          <w:sz w:val="24"/>
          <w:szCs w:val="24"/>
          <w:lang w:eastAsia="zh-CN"/>
        </w:rPr>
        <w:t>北京天地文化发展</w:t>
      </w:r>
      <w:r>
        <w:rPr>
          <w:rFonts w:hint="eastAsia"/>
          <w:sz w:val="24"/>
          <w:szCs w:val="24"/>
        </w:rPr>
        <w:t>基金会章程》，制定本制度。</w:t>
      </w:r>
    </w:p>
    <w:p>
      <w:pPr>
        <w:spacing w:line="360" w:lineRule="auto"/>
        <w:ind w:firstLine="480" w:firstLineChars="200"/>
        <w:rPr>
          <w:sz w:val="24"/>
          <w:szCs w:val="24"/>
        </w:rPr>
      </w:pPr>
      <w:r>
        <w:rPr>
          <w:rFonts w:hint="eastAsia"/>
          <w:sz w:val="24"/>
          <w:szCs w:val="24"/>
        </w:rPr>
        <w:t>1.2理事会是基金会的最高决策机构，依法行使章程规定的职权，保障基金会的健康发展。</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2．理事会组成</w:t>
      </w:r>
    </w:p>
    <w:p>
      <w:pPr>
        <w:spacing w:line="360" w:lineRule="auto"/>
        <w:ind w:firstLine="480" w:firstLineChars="200"/>
        <w:rPr>
          <w:sz w:val="24"/>
          <w:szCs w:val="24"/>
        </w:rPr>
      </w:pPr>
      <w:r>
        <w:rPr>
          <w:rFonts w:hint="eastAsia"/>
          <w:sz w:val="24"/>
          <w:szCs w:val="24"/>
        </w:rPr>
        <w:t>2.1本基金会由</w:t>
      </w:r>
      <w:r>
        <w:rPr>
          <w:rFonts w:hint="eastAsia"/>
          <w:sz w:val="24"/>
          <w:szCs w:val="24"/>
          <w:lang w:val="en-US" w:eastAsia="zh-CN"/>
        </w:rPr>
        <w:t>9</w:t>
      </w:r>
      <w:r>
        <w:rPr>
          <w:rFonts w:hint="eastAsia"/>
          <w:sz w:val="24"/>
          <w:szCs w:val="24"/>
        </w:rPr>
        <w:t>名理事组成理事会，理事每届任期为</w:t>
      </w:r>
      <w:r>
        <w:rPr>
          <w:rFonts w:hint="eastAsia"/>
          <w:sz w:val="24"/>
          <w:szCs w:val="24"/>
          <w:lang w:val="en-US" w:eastAsia="zh-CN"/>
        </w:rPr>
        <w:t>3</w:t>
      </w:r>
      <w:r>
        <w:rPr>
          <w:rFonts w:hint="eastAsia"/>
          <w:sz w:val="24"/>
          <w:szCs w:val="24"/>
        </w:rPr>
        <w:t>年，任期届满，连选可以连任。</w:t>
      </w:r>
    </w:p>
    <w:p>
      <w:pPr>
        <w:spacing w:line="360" w:lineRule="auto"/>
        <w:ind w:firstLine="480" w:firstLineChars="200"/>
        <w:rPr>
          <w:sz w:val="24"/>
          <w:szCs w:val="24"/>
        </w:rPr>
      </w:pPr>
      <w:r>
        <w:rPr>
          <w:rFonts w:hint="eastAsia"/>
          <w:sz w:val="24"/>
          <w:szCs w:val="24"/>
        </w:rPr>
        <w:t>2.2理事的资格：</w:t>
      </w:r>
    </w:p>
    <w:p>
      <w:pPr>
        <w:spacing w:line="360" w:lineRule="auto"/>
        <w:ind w:firstLine="480" w:firstLineChars="200"/>
        <w:rPr>
          <w:sz w:val="24"/>
        </w:rPr>
      </w:pPr>
      <w:r>
        <w:rPr>
          <w:rFonts w:hint="eastAsia"/>
          <w:sz w:val="24"/>
          <w:szCs w:val="24"/>
        </w:rPr>
        <w:t>2.2.1</w:t>
      </w:r>
      <w:r>
        <w:rPr>
          <w:rFonts w:hint="eastAsia"/>
          <w:sz w:val="24"/>
        </w:rPr>
        <w:t>热心公益事业，充分认可基金会使命和愿景；</w:t>
      </w:r>
    </w:p>
    <w:p>
      <w:pPr>
        <w:spacing w:line="360" w:lineRule="auto"/>
        <w:ind w:firstLine="480" w:firstLineChars="200"/>
        <w:rPr>
          <w:sz w:val="24"/>
          <w:szCs w:val="24"/>
        </w:rPr>
      </w:pPr>
      <w:r>
        <w:rPr>
          <w:rFonts w:hint="eastAsia"/>
          <w:sz w:val="24"/>
          <w:szCs w:val="24"/>
        </w:rPr>
        <w:t>2.2.2具有与业务工作相适应的工作阅历和工作经验；</w:t>
      </w:r>
    </w:p>
    <w:p>
      <w:pPr>
        <w:spacing w:line="360" w:lineRule="auto"/>
        <w:ind w:firstLine="480" w:firstLineChars="200"/>
        <w:rPr>
          <w:sz w:val="24"/>
          <w:szCs w:val="24"/>
        </w:rPr>
      </w:pPr>
      <w:r>
        <w:rPr>
          <w:rFonts w:hint="eastAsia"/>
          <w:sz w:val="24"/>
          <w:szCs w:val="24"/>
        </w:rPr>
        <w:t>2.2.3能够尽职尽责，保障捐赠财产的使用符合捐赠人的意愿和基金会的公益目的，保障基金会财产的安全及保值增值；</w:t>
      </w:r>
    </w:p>
    <w:p>
      <w:pPr>
        <w:spacing w:line="360" w:lineRule="auto"/>
        <w:ind w:firstLine="480" w:firstLineChars="200"/>
        <w:rPr>
          <w:sz w:val="24"/>
          <w:szCs w:val="24"/>
        </w:rPr>
      </w:pPr>
      <w:r>
        <w:rPr>
          <w:sz w:val="24"/>
          <w:szCs w:val="24"/>
        </w:rPr>
        <w:t>2.2.4</w:t>
      </w:r>
      <w:r>
        <w:rPr>
          <w:rFonts w:hint="eastAsia"/>
          <w:sz w:val="24"/>
          <w:szCs w:val="24"/>
        </w:rPr>
        <w:t>廉洁奉公，办事公道。</w:t>
      </w:r>
    </w:p>
    <w:p>
      <w:pPr>
        <w:spacing w:line="360" w:lineRule="auto"/>
        <w:ind w:firstLine="480" w:firstLineChars="200"/>
        <w:rPr>
          <w:sz w:val="24"/>
          <w:szCs w:val="24"/>
        </w:rPr>
      </w:pPr>
      <w:r>
        <w:rPr>
          <w:rFonts w:hint="eastAsia"/>
          <w:sz w:val="24"/>
          <w:szCs w:val="24"/>
        </w:rPr>
        <w:t>2.3理事的产生和罢免：</w:t>
      </w:r>
    </w:p>
    <w:p>
      <w:pPr>
        <w:spacing w:line="360" w:lineRule="auto"/>
        <w:ind w:firstLine="480" w:firstLineChars="200"/>
        <w:rPr>
          <w:sz w:val="24"/>
          <w:szCs w:val="24"/>
        </w:rPr>
      </w:pPr>
      <w:r>
        <w:rPr>
          <w:rFonts w:hint="eastAsia"/>
          <w:sz w:val="24"/>
          <w:szCs w:val="24"/>
        </w:rPr>
        <w:t>2.3.1第一届理事由主要捐赠人、发起人分别提名并共同协商确定；</w:t>
      </w:r>
    </w:p>
    <w:p>
      <w:pPr>
        <w:spacing w:line="360" w:lineRule="auto"/>
        <w:ind w:firstLine="480" w:firstLineChars="200"/>
        <w:rPr>
          <w:sz w:val="24"/>
          <w:szCs w:val="24"/>
        </w:rPr>
      </w:pPr>
      <w:r>
        <w:rPr>
          <w:rFonts w:hint="eastAsia"/>
          <w:sz w:val="24"/>
          <w:szCs w:val="24"/>
        </w:rPr>
        <w:t>2.3.2理事会换届改选时，由理事会、主要捐赠人共同提名候选人并组织换届领导小组，组织全部候选人共同选举产生新一届理事；</w:t>
      </w:r>
    </w:p>
    <w:p>
      <w:pPr>
        <w:spacing w:line="360" w:lineRule="auto"/>
        <w:ind w:firstLine="480" w:firstLineChars="200"/>
        <w:rPr>
          <w:sz w:val="24"/>
          <w:szCs w:val="24"/>
        </w:rPr>
      </w:pPr>
      <w:r>
        <w:rPr>
          <w:rFonts w:hint="eastAsia"/>
          <w:sz w:val="24"/>
          <w:szCs w:val="24"/>
        </w:rPr>
        <w:t>2.3.3罢免、增补理事应当经理事会表决通过；</w:t>
      </w:r>
    </w:p>
    <w:p>
      <w:pPr>
        <w:spacing w:line="360" w:lineRule="auto"/>
        <w:ind w:firstLine="480" w:firstLineChars="200"/>
        <w:rPr>
          <w:sz w:val="24"/>
          <w:szCs w:val="24"/>
        </w:rPr>
      </w:pPr>
      <w:r>
        <w:rPr>
          <w:rFonts w:hint="eastAsia"/>
          <w:sz w:val="24"/>
          <w:szCs w:val="24"/>
        </w:rPr>
        <w:t>2.3.4理事的选举和罢免结果报登记管理机关备案；</w:t>
      </w:r>
    </w:p>
    <w:p>
      <w:pPr>
        <w:spacing w:line="360" w:lineRule="auto"/>
        <w:ind w:firstLine="480" w:firstLineChars="200"/>
        <w:rPr>
          <w:sz w:val="24"/>
          <w:szCs w:val="24"/>
        </w:rPr>
      </w:pPr>
      <w:r>
        <w:rPr>
          <w:rFonts w:hint="eastAsia"/>
          <w:sz w:val="24"/>
          <w:szCs w:val="24"/>
        </w:rPr>
        <w:t>2.3.5</w:t>
      </w:r>
      <w:r>
        <w:rPr>
          <w:rFonts w:hint="eastAsia"/>
          <w:sz w:val="24"/>
          <w:szCs w:val="24"/>
          <w:lang w:val="en-US" w:eastAsia="zh-CN"/>
        </w:rPr>
        <w:t>具</w:t>
      </w:r>
      <w:r>
        <w:rPr>
          <w:rFonts w:hint="eastAsia"/>
          <w:sz w:val="24"/>
          <w:szCs w:val="24"/>
        </w:rPr>
        <w:t>有近亲属关系的不得</w:t>
      </w:r>
      <w:r>
        <w:rPr>
          <w:rFonts w:hint="eastAsia"/>
          <w:sz w:val="24"/>
          <w:szCs w:val="24"/>
          <w:lang w:val="en-US" w:eastAsia="zh-CN"/>
        </w:rPr>
        <w:t>同时在</w:t>
      </w:r>
      <w:r>
        <w:rPr>
          <w:rFonts w:hint="eastAsia"/>
          <w:sz w:val="24"/>
          <w:szCs w:val="24"/>
        </w:rPr>
        <w:t>理事</w:t>
      </w:r>
      <w:r>
        <w:rPr>
          <w:rFonts w:hint="eastAsia"/>
          <w:sz w:val="24"/>
          <w:szCs w:val="24"/>
          <w:lang w:val="en-US" w:eastAsia="zh-CN"/>
        </w:rPr>
        <w:t>会任职</w:t>
      </w:r>
      <w:r>
        <w:rPr>
          <w:rFonts w:hint="eastAsia"/>
          <w:sz w:val="24"/>
          <w:szCs w:val="24"/>
        </w:rPr>
        <w:t>；</w:t>
      </w:r>
    </w:p>
    <w:p>
      <w:pPr>
        <w:spacing w:line="360" w:lineRule="auto"/>
        <w:ind w:firstLine="480" w:firstLineChars="200"/>
        <w:rPr>
          <w:sz w:val="24"/>
          <w:szCs w:val="24"/>
        </w:rPr>
      </w:pPr>
      <w:r>
        <w:rPr>
          <w:rFonts w:hint="eastAsia"/>
          <w:sz w:val="24"/>
          <w:szCs w:val="24"/>
        </w:rPr>
        <w:t>2.4 基金会不断完善理事会组成结构，包括增加符合条件的理事人选、优化理事会成员结构等。</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3．理事会职责、职权</w:t>
      </w:r>
    </w:p>
    <w:p>
      <w:pPr>
        <w:spacing w:line="360" w:lineRule="auto"/>
        <w:ind w:firstLine="480" w:firstLineChars="200"/>
        <w:rPr>
          <w:sz w:val="24"/>
          <w:szCs w:val="24"/>
        </w:rPr>
      </w:pPr>
      <w:r>
        <w:rPr>
          <w:rFonts w:hint="eastAsia"/>
          <w:sz w:val="24"/>
          <w:szCs w:val="24"/>
        </w:rPr>
        <w:t>3.1理事会行使下列职责、职权：</w:t>
      </w:r>
    </w:p>
    <w:p>
      <w:pPr>
        <w:spacing w:line="360" w:lineRule="auto"/>
        <w:ind w:firstLine="480" w:firstLineChars="200"/>
        <w:rPr>
          <w:sz w:val="24"/>
          <w:szCs w:val="24"/>
        </w:rPr>
      </w:pPr>
      <w:r>
        <w:rPr>
          <w:rFonts w:hint="eastAsia"/>
          <w:sz w:val="24"/>
          <w:szCs w:val="24"/>
        </w:rPr>
        <w:t>3.1.1制定、修改章程；</w:t>
      </w:r>
    </w:p>
    <w:p>
      <w:pPr>
        <w:spacing w:line="360" w:lineRule="auto"/>
        <w:ind w:firstLine="480" w:firstLineChars="200"/>
        <w:rPr>
          <w:sz w:val="24"/>
          <w:szCs w:val="24"/>
        </w:rPr>
      </w:pPr>
      <w:r>
        <w:rPr>
          <w:rFonts w:hint="eastAsia"/>
          <w:sz w:val="24"/>
          <w:szCs w:val="24"/>
        </w:rPr>
        <w:t>3.1.2选举、罢免理事长、副理事长、秘书长；</w:t>
      </w:r>
    </w:p>
    <w:p>
      <w:pPr>
        <w:spacing w:line="360" w:lineRule="auto"/>
        <w:ind w:firstLine="480" w:firstLineChars="200"/>
        <w:rPr>
          <w:sz w:val="24"/>
          <w:szCs w:val="24"/>
        </w:rPr>
      </w:pPr>
      <w:r>
        <w:rPr>
          <w:rFonts w:hint="eastAsia"/>
          <w:sz w:val="24"/>
          <w:szCs w:val="24"/>
        </w:rPr>
        <w:t>3.1.3决定重大业务活动计划，包括资金的募集、管理和使用计划；</w:t>
      </w:r>
    </w:p>
    <w:p>
      <w:pPr>
        <w:spacing w:line="360" w:lineRule="auto"/>
        <w:ind w:firstLine="480" w:firstLineChars="200"/>
        <w:rPr>
          <w:sz w:val="24"/>
          <w:szCs w:val="24"/>
        </w:rPr>
      </w:pPr>
      <w:r>
        <w:rPr>
          <w:rFonts w:hint="eastAsia"/>
          <w:sz w:val="24"/>
          <w:szCs w:val="24"/>
        </w:rPr>
        <w:t xml:space="preserve">3.1.4年度收支预算及决算审定；  </w:t>
      </w:r>
    </w:p>
    <w:p>
      <w:pPr>
        <w:spacing w:line="360" w:lineRule="auto"/>
        <w:ind w:firstLine="480" w:firstLineChars="200"/>
        <w:rPr>
          <w:sz w:val="24"/>
          <w:szCs w:val="24"/>
        </w:rPr>
      </w:pPr>
      <w:r>
        <w:rPr>
          <w:rFonts w:hint="eastAsia"/>
          <w:sz w:val="24"/>
          <w:szCs w:val="24"/>
        </w:rPr>
        <w:t xml:space="preserve">3.1.5制定内部管理制度；  </w:t>
      </w:r>
    </w:p>
    <w:p>
      <w:pPr>
        <w:spacing w:line="360" w:lineRule="auto"/>
        <w:ind w:firstLine="480" w:firstLineChars="200"/>
        <w:rPr>
          <w:sz w:val="24"/>
          <w:szCs w:val="24"/>
        </w:rPr>
      </w:pPr>
      <w:r>
        <w:rPr>
          <w:rFonts w:hint="eastAsia"/>
          <w:sz w:val="24"/>
          <w:szCs w:val="24"/>
        </w:rPr>
        <w:t xml:space="preserve">3.1.6决定设立办事机构、分支机构、代表机构；  </w:t>
      </w:r>
    </w:p>
    <w:p>
      <w:pPr>
        <w:spacing w:line="360" w:lineRule="auto"/>
        <w:ind w:firstLine="480" w:firstLineChars="200"/>
        <w:rPr>
          <w:sz w:val="24"/>
          <w:szCs w:val="24"/>
        </w:rPr>
      </w:pPr>
      <w:r>
        <w:rPr>
          <w:rFonts w:hint="eastAsia"/>
          <w:sz w:val="24"/>
          <w:szCs w:val="24"/>
        </w:rPr>
        <w:t xml:space="preserve">3.1.7决定由秘书长提名的副秘书长和其他高级管理人员的聘任；  </w:t>
      </w:r>
    </w:p>
    <w:p>
      <w:pPr>
        <w:spacing w:line="360" w:lineRule="auto"/>
        <w:ind w:firstLine="480" w:firstLineChars="200"/>
        <w:rPr>
          <w:sz w:val="24"/>
          <w:szCs w:val="24"/>
        </w:rPr>
      </w:pPr>
      <w:r>
        <w:rPr>
          <w:rFonts w:hint="eastAsia"/>
          <w:sz w:val="24"/>
          <w:szCs w:val="24"/>
        </w:rPr>
        <w:t xml:space="preserve">3.1.8听取、审议秘书长的工作报告，检查秘书长的工作；  </w:t>
      </w:r>
    </w:p>
    <w:p>
      <w:pPr>
        <w:spacing w:line="360" w:lineRule="auto"/>
        <w:ind w:firstLine="480" w:firstLineChars="200"/>
        <w:rPr>
          <w:sz w:val="24"/>
          <w:szCs w:val="24"/>
        </w:rPr>
      </w:pPr>
      <w:r>
        <w:rPr>
          <w:rFonts w:hint="eastAsia"/>
          <w:sz w:val="24"/>
          <w:szCs w:val="24"/>
        </w:rPr>
        <w:t>3.1.9决定基金会的分立、合并或终止；</w:t>
      </w:r>
    </w:p>
    <w:p>
      <w:pPr>
        <w:spacing w:line="360" w:lineRule="auto"/>
        <w:ind w:firstLine="480" w:firstLineChars="200"/>
        <w:rPr>
          <w:sz w:val="24"/>
          <w:szCs w:val="24"/>
        </w:rPr>
      </w:pPr>
      <w:r>
        <w:rPr>
          <w:rFonts w:hint="eastAsia"/>
          <w:sz w:val="24"/>
          <w:szCs w:val="24"/>
        </w:rPr>
        <w:t xml:space="preserve">3.1.10决定其他重大事项。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4．理事及理事长职权、职责</w:t>
      </w:r>
    </w:p>
    <w:p>
      <w:pPr>
        <w:spacing w:line="360" w:lineRule="auto"/>
        <w:ind w:firstLine="480" w:firstLineChars="200"/>
        <w:rPr>
          <w:sz w:val="24"/>
          <w:szCs w:val="24"/>
        </w:rPr>
      </w:pPr>
      <w:r>
        <w:rPr>
          <w:rFonts w:hint="eastAsia"/>
          <w:sz w:val="24"/>
          <w:szCs w:val="24"/>
        </w:rPr>
        <w:t>4.1理事行使下列职权：</w:t>
      </w:r>
    </w:p>
    <w:p>
      <w:pPr>
        <w:spacing w:line="360" w:lineRule="auto"/>
        <w:ind w:firstLine="480" w:firstLineChars="200"/>
        <w:rPr>
          <w:sz w:val="24"/>
          <w:szCs w:val="24"/>
        </w:rPr>
      </w:pPr>
      <w:r>
        <w:rPr>
          <w:rFonts w:hint="eastAsia"/>
          <w:sz w:val="24"/>
          <w:szCs w:val="24"/>
        </w:rPr>
        <w:t>4.1.1在理事会会议上充分发表意见，对表决事项行使表决权；</w:t>
      </w:r>
    </w:p>
    <w:p>
      <w:pPr>
        <w:spacing w:line="360" w:lineRule="auto"/>
        <w:ind w:firstLine="480" w:firstLineChars="200"/>
        <w:rPr>
          <w:sz w:val="24"/>
          <w:szCs w:val="24"/>
        </w:rPr>
      </w:pPr>
      <w:r>
        <w:rPr>
          <w:rFonts w:hint="eastAsia"/>
          <w:sz w:val="24"/>
          <w:szCs w:val="24"/>
        </w:rPr>
        <w:t>4.1.2理事有权查阅理事会记录和基金会财务会计报告，提出质询并要求说明；</w:t>
      </w:r>
    </w:p>
    <w:p>
      <w:pPr>
        <w:spacing w:line="360" w:lineRule="auto"/>
        <w:ind w:firstLine="480" w:firstLineChars="200"/>
        <w:rPr>
          <w:sz w:val="24"/>
          <w:szCs w:val="24"/>
        </w:rPr>
      </w:pPr>
      <w:r>
        <w:rPr>
          <w:rFonts w:hint="eastAsia"/>
          <w:sz w:val="24"/>
          <w:szCs w:val="24"/>
        </w:rPr>
        <w:t>4.1.3理事有权调阅本基金会档案、文件或约见本基金会工作人员了解情况</w:t>
      </w:r>
      <w:r>
        <w:rPr>
          <w:rFonts w:hint="eastAsia"/>
          <w:sz w:val="24"/>
          <w:szCs w:val="24"/>
          <w:lang w:eastAsia="zh-CN"/>
        </w:rPr>
        <w:t>，</w:t>
      </w:r>
      <w:r>
        <w:rPr>
          <w:rFonts w:hint="eastAsia"/>
          <w:sz w:val="24"/>
          <w:szCs w:val="24"/>
        </w:rPr>
        <w:t>查询或调查本基金会的专项工作；</w:t>
      </w:r>
    </w:p>
    <w:p>
      <w:pPr>
        <w:spacing w:line="360" w:lineRule="auto"/>
        <w:ind w:firstLine="480" w:firstLineChars="200"/>
        <w:rPr>
          <w:sz w:val="24"/>
          <w:szCs w:val="24"/>
        </w:rPr>
      </w:pPr>
      <w:r>
        <w:rPr>
          <w:rFonts w:hint="eastAsia"/>
          <w:sz w:val="24"/>
          <w:szCs w:val="24"/>
        </w:rPr>
        <w:t>4.1.4理事有向理事长提出召开临时会议或特别会议的建议权。</w:t>
      </w:r>
    </w:p>
    <w:p>
      <w:pPr>
        <w:spacing w:line="360" w:lineRule="auto"/>
        <w:ind w:firstLine="480" w:firstLineChars="200"/>
        <w:rPr>
          <w:sz w:val="24"/>
          <w:szCs w:val="24"/>
        </w:rPr>
      </w:pPr>
      <w:r>
        <w:rPr>
          <w:rFonts w:hint="eastAsia"/>
          <w:sz w:val="24"/>
          <w:szCs w:val="24"/>
        </w:rPr>
        <w:t>4.2理事应履行下列职责：</w:t>
      </w:r>
    </w:p>
    <w:p>
      <w:pPr>
        <w:spacing w:line="360" w:lineRule="auto"/>
        <w:ind w:firstLine="480" w:firstLineChars="200"/>
        <w:rPr>
          <w:sz w:val="24"/>
          <w:szCs w:val="24"/>
        </w:rPr>
      </w:pPr>
      <w:r>
        <w:rPr>
          <w:rFonts w:hint="eastAsia"/>
          <w:sz w:val="24"/>
          <w:szCs w:val="24"/>
        </w:rPr>
        <w:t>4.2.1理事应当遵守《</w:t>
      </w:r>
      <w:r>
        <w:rPr>
          <w:rFonts w:hint="eastAsia"/>
          <w:sz w:val="24"/>
          <w:szCs w:val="24"/>
          <w:lang w:eastAsia="zh-CN"/>
        </w:rPr>
        <w:t>北京天地文化发展</w:t>
      </w:r>
      <w:r>
        <w:rPr>
          <w:rFonts w:hint="eastAsia"/>
          <w:sz w:val="24"/>
          <w:szCs w:val="24"/>
        </w:rPr>
        <w:t>基金会章程》，遵从理事会做出的决定，忠实履行职责，维护本基金会及其理事会的利益；</w:t>
      </w:r>
    </w:p>
    <w:p>
      <w:pPr>
        <w:spacing w:line="360" w:lineRule="auto"/>
        <w:ind w:firstLine="480" w:firstLineChars="200"/>
        <w:rPr>
          <w:sz w:val="24"/>
          <w:szCs w:val="24"/>
        </w:rPr>
      </w:pPr>
      <w:r>
        <w:rPr>
          <w:rFonts w:hint="eastAsia"/>
          <w:sz w:val="24"/>
          <w:szCs w:val="24"/>
        </w:rPr>
        <w:t>4.2.2理事负有按规定不泄露本基金会秘密的义务，在未获得授权的情况下，不能代表理事会和本基金会发言；</w:t>
      </w:r>
    </w:p>
    <w:p>
      <w:pPr>
        <w:spacing w:line="360" w:lineRule="auto"/>
        <w:ind w:firstLine="480" w:firstLineChars="200"/>
        <w:rPr>
          <w:sz w:val="24"/>
          <w:szCs w:val="24"/>
        </w:rPr>
      </w:pPr>
      <w:r>
        <w:rPr>
          <w:rFonts w:hint="eastAsia"/>
          <w:sz w:val="24"/>
          <w:szCs w:val="24"/>
        </w:rPr>
        <w:t>4.2.3理事应当仔细审读本基金会的年度财务预算、决算方案，积极为基金会的发展提出意见和建议；</w:t>
      </w:r>
    </w:p>
    <w:p>
      <w:pPr>
        <w:spacing w:line="360" w:lineRule="auto"/>
        <w:ind w:firstLine="480" w:firstLineChars="200"/>
        <w:rPr>
          <w:sz w:val="24"/>
          <w:szCs w:val="24"/>
        </w:rPr>
      </w:pPr>
      <w:r>
        <w:rPr>
          <w:rFonts w:hint="eastAsia"/>
          <w:sz w:val="24"/>
          <w:szCs w:val="24"/>
        </w:rPr>
        <w:t xml:space="preserve">4.2.4理事应当按时参加理事会议并积极参与理事会的其他各项活动； </w:t>
      </w:r>
    </w:p>
    <w:p>
      <w:pPr>
        <w:spacing w:line="360" w:lineRule="auto"/>
        <w:ind w:firstLine="480" w:firstLineChars="200"/>
        <w:rPr>
          <w:sz w:val="24"/>
          <w:szCs w:val="24"/>
        </w:rPr>
      </w:pPr>
      <w:r>
        <w:rPr>
          <w:rFonts w:hint="eastAsia"/>
          <w:sz w:val="24"/>
          <w:szCs w:val="24"/>
        </w:rPr>
        <w:t>4.2.5理事推荐新的理事和监事；</w:t>
      </w:r>
    </w:p>
    <w:p>
      <w:pPr>
        <w:spacing w:line="360" w:lineRule="auto"/>
        <w:ind w:firstLine="480" w:firstLineChars="200"/>
        <w:rPr>
          <w:sz w:val="24"/>
          <w:szCs w:val="24"/>
        </w:rPr>
      </w:pPr>
      <w:r>
        <w:rPr>
          <w:rFonts w:hint="eastAsia"/>
          <w:sz w:val="24"/>
          <w:szCs w:val="24"/>
        </w:rPr>
        <w:t>4.2.6理事离任时，应对基金会相关事务保密；</w:t>
      </w:r>
    </w:p>
    <w:p>
      <w:pPr>
        <w:spacing w:line="360" w:lineRule="auto"/>
        <w:ind w:firstLine="480" w:firstLineChars="200"/>
        <w:rPr>
          <w:sz w:val="24"/>
          <w:szCs w:val="24"/>
        </w:rPr>
      </w:pPr>
      <w:r>
        <w:rPr>
          <w:rFonts w:hint="eastAsia"/>
          <w:sz w:val="24"/>
          <w:szCs w:val="24"/>
        </w:rPr>
        <w:t>4.3 理事长行使下列职权：</w:t>
      </w:r>
    </w:p>
    <w:p>
      <w:pPr>
        <w:spacing w:line="360" w:lineRule="auto"/>
        <w:ind w:firstLine="480" w:firstLineChars="200"/>
        <w:rPr>
          <w:sz w:val="24"/>
          <w:szCs w:val="24"/>
        </w:rPr>
      </w:pPr>
      <w:r>
        <w:rPr>
          <w:rFonts w:hint="eastAsia"/>
          <w:sz w:val="24"/>
          <w:szCs w:val="24"/>
        </w:rPr>
        <w:t>4.3.1召集和主持理事会会议；</w:t>
      </w:r>
    </w:p>
    <w:p>
      <w:pPr>
        <w:spacing w:line="360" w:lineRule="auto"/>
        <w:ind w:firstLine="480" w:firstLineChars="200"/>
        <w:rPr>
          <w:sz w:val="24"/>
          <w:szCs w:val="24"/>
        </w:rPr>
      </w:pPr>
      <w:r>
        <w:rPr>
          <w:rFonts w:hint="eastAsia"/>
          <w:sz w:val="24"/>
          <w:szCs w:val="24"/>
        </w:rPr>
        <w:t>4.3.2检查理事会决议的落实情况；</w:t>
      </w:r>
    </w:p>
    <w:p>
      <w:pPr>
        <w:spacing w:line="360" w:lineRule="auto"/>
        <w:ind w:firstLine="480" w:firstLineChars="200"/>
        <w:rPr>
          <w:sz w:val="24"/>
          <w:szCs w:val="24"/>
        </w:rPr>
      </w:pPr>
      <w:r>
        <w:rPr>
          <w:rFonts w:hint="eastAsia"/>
          <w:sz w:val="24"/>
          <w:szCs w:val="24"/>
        </w:rPr>
        <w:t>4.3.3代表本基金会签署重要文件；</w:t>
      </w:r>
    </w:p>
    <w:p>
      <w:pPr>
        <w:spacing w:line="360" w:lineRule="auto"/>
        <w:ind w:firstLine="480" w:firstLineChars="200"/>
        <w:rPr>
          <w:sz w:val="24"/>
          <w:szCs w:val="24"/>
        </w:rPr>
      </w:pPr>
      <w:r>
        <w:rPr>
          <w:rFonts w:hint="eastAsia"/>
          <w:sz w:val="24"/>
          <w:szCs w:val="24"/>
        </w:rPr>
        <w:t>4.3.4理事会授予或《</w:t>
      </w:r>
      <w:r>
        <w:rPr>
          <w:rFonts w:hint="eastAsia"/>
          <w:sz w:val="24"/>
          <w:szCs w:val="24"/>
          <w:lang w:eastAsia="zh-CN"/>
        </w:rPr>
        <w:t>北京天地文化发展</w:t>
      </w:r>
      <w:r>
        <w:rPr>
          <w:rFonts w:hint="eastAsia"/>
          <w:sz w:val="24"/>
          <w:szCs w:val="24"/>
        </w:rPr>
        <w:t>基金会章程》规定的其他职权；</w:t>
      </w:r>
    </w:p>
    <w:p>
      <w:pPr>
        <w:spacing w:line="360" w:lineRule="auto"/>
        <w:ind w:firstLine="480" w:firstLineChars="200"/>
        <w:rPr>
          <w:sz w:val="24"/>
          <w:szCs w:val="24"/>
        </w:rPr>
      </w:pPr>
      <w:r>
        <w:rPr>
          <w:rFonts w:hint="eastAsia"/>
          <w:sz w:val="24"/>
          <w:szCs w:val="24"/>
        </w:rPr>
        <w:t>4.3.5理事长可根据需要，授予秘书长行使有关职权。</w:t>
      </w:r>
    </w:p>
    <w:p>
      <w:pPr>
        <w:spacing w:line="360" w:lineRule="auto"/>
        <w:ind w:firstLine="480" w:firstLineChars="200"/>
        <w:rPr>
          <w:sz w:val="24"/>
          <w:szCs w:val="24"/>
        </w:rPr>
      </w:pPr>
      <w:r>
        <w:rPr>
          <w:rFonts w:hint="eastAsia"/>
          <w:sz w:val="24"/>
          <w:szCs w:val="24"/>
        </w:rPr>
        <w:t>4.4 理事长应履行下列职责：</w:t>
      </w:r>
    </w:p>
    <w:p>
      <w:pPr>
        <w:spacing w:line="360" w:lineRule="auto"/>
        <w:ind w:firstLine="480" w:firstLineChars="200"/>
        <w:rPr>
          <w:sz w:val="24"/>
          <w:szCs w:val="24"/>
        </w:rPr>
      </w:pPr>
      <w:r>
        <w:rPr>
          <w:rFonts w:hint="eastAsia"/>
          <w:sz w:val="24"/>
          <w:szCs w:val="24"/>
        </w:rPr>
        <w:t>4.4.1遵守《</w:t>
      </w:r>
      <w:r>
        <w:rPr>
          <w:rFonts w:hint="eastAsia"/>
          <w:sz w:val="24"/>
          <w:szCs w:val="24"/>
          <w:lang w:eastAsia="zh-CN"/>
        </w:rPr>
        <w:t>北京天地文化发展</w:t>
      </w:r>
      <w:r>
        <w:rPr>
          <w:rFonts w:hint="eastAsia"/>
          <w:sz w:val="24"/>
          <w:szCs w:val="24"/>
        </w:rPr>
        <w:t>基金会章程》，忠实履行职务；</w:t>
      </w:r>
    </w:p>
    <w:p>
      <w:pPr>
        <w:spacing w:line="360" w:lineRule="auto"/>
        <w:ind w:firstLine="480" w:firstLineChars="200"/>
        <w:rPr>
          <w:sz w:val="24"/>
          <w:szCs w:val="24"/>
        </w:rPr>
      </w:pPr>
      <w:r>
        <w:rPr>
          <w:rFonts w:hint="eastAsia"/>
          <w:sz w:val="24"/>
          <w:szCs w:val="24"/>
        </w:rPr>
        <w:t>4.4.2组织研究本基金会经营目标、方针和发展战略；</w:t>
      </w:r>
    </w:p>
    <w:p>
      <w:pPr>
        <w:spacing w:line="360" w:lineRule="auto"/>
        <w:ind w:firstLine="480" w:firstLineChars="200"/>
        <w:rPr>
          <w:sz w:val="24"/>
          <w:szCs w:val="24"/>
        </w:rPr>
      </w:pPr>
      <w:r>
        <w:rPr>
          <w:rFonts w:hint="eastAsia"/>
          <w:sz w:val="24"/>
          <w:szCs w:val="24"/>
        </w:rPr>
        <w:t>4.4.3按照决策权限和程序，做到民主决策和科学决策；</w:t>
      </w:r>
    </w:p>
    <w:p>
      <w:pPr>
        <w:spacing w:line="360" w:lineRule="auto"/>
        <w:ind w:firstLine="480" w:firstLineChars="200"/>
        <w:rPr>
          <w:sz w:val="24"/>
          <w:szCs w:val="24"/>
        </w:rPr>
      </w:pPr>
      <w:r>
        <w:rPr>
          <w:rFonts w:hint="eastAsia"/>
          <w:sz w:val="24"/>
          <w:szCs w:val="24"/>
        </w:rPr>
        <w:t>4.4.4自觉接受理事会的监督；</w:t>
      </w:r>
    </w:p>
    <w:p>
      <w:pPr>
        <w:spacing w:line="360" w:lineRule="auto"/>
        <w:ind w:firstLine="480" w:firstLineChars="200"/>
        <w:rPr>
          <w:sz w:val="24"/>
          <w:szCs w:val="24"/>
        </w:rPr>
      </w:pPr>
      <w:r>
        <w:rPr>
          <w:rFonts w:hint="eastAsia"/>
          <w:sz w:val="24"/>
          <w:szCs w:val="24"/>
        </w:rPr>
        <w:t>4.4.5履行《</w:t>
      </w:r>
      <w:r>
        <w:rPr>
          <w:rFonts w:hint="eastAsia"/>
          <w:sz w:val="24"/>
          <w:szCs w:val="24"/>
          <w:lang w:eastAsia="zh-CN"/>
        </w:rPr>
        <w:t>北京天地文化发展</w:t>
      </w:r>
      <w:r>
        <w:rPr>
          <w:rFonts w:hint="eastAsia"/>
          <w:sz w:val="24"/>
          <w:szCs w:val="24"/>
        </w:rPr>
        <w:t xml:space="preserve">基金会章程》规定的其他责任和义务。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5．理事会机构</w:t>
      </w:r>
    </w:p>
    <w:p>
      <w:pPr>
        <w:spacing w:line="360" w:lineRule="auto"/>
        <w:ind w:firstLine="480" w:firstLineChars="200"/>
        <w:rPr>
          <w:sz w:val="24"/>
          <w:szCs w:val="24"/>
        </w:rPr>
      </w:pPr>
      <w:r>
        <w:rPr>
          <w:rFonts w:hint="eastAsia"/>
          <w:sz w:val="24"/>
          <w:szCs w:val="24"/>
        </w:rPr>
        <w:t xml:space="preserve">5.1 理事会设理事长、副理事长和秘书长，从理事中选举产生。 </w:t>
      </w:r>
    </w:p>
    <w:p>
      <w:pPr>
        <w:spacing w:line="360" w:lineRule="auto"/>
        <w:ind w:firstLine="480" w:firstLineChars="200"/>
        <w:rPr>
          <w:sz w:val="24"/>
          <w:szCs w:val="24"/>
        </w:rPr>
      </w:pPr>
      <w:r>
        <w:rPr>
          <w:rFonts w:hint="eastAsia"/>
          <w:sz w:val="24"/>
          <w:szCs w:val="24"/>
        </w:rPr>
        <w:t xml:space="preserve">5.2本基金会理事长、副理事长、秘书长必须符合以下条件：                                                         </w:t>
      </w:r>
    </w:p>
    <w:p>
      <w:pPr>
        <w:spacing w:line="360" w:lineRule="auto"/>
        <w:ind w:firstLine="480" w:firstLineChars="200"/>
        <w:rPr>
          <w:sz w:val="24"/>
          <w:szCs w:val="24"/>
        </w:rPr>
      </w:pPr>
      <w:r>
        <w:rPr>
          <w:rFonts w:hint="eastAsia"/>
          <w:sz w:val="24"/>
          <w:szCs w:val="24"/>
        </w:rPr>
        <w:t>5.2.1在本基金会业务领域内有较大影响；</w:t>
      </w:r>
    </w:p>
    <w:p>
      <w:pPr>
        <w:spacing w:line="360" w:lineRule="auto"/>
        <w:ind w:firstLine="480" w:firstLineChars="200"/>
        <w:rPr>
          <w:sz w:val="24"/>
          <w:szCs w:val="24"/>
        </w:rPr>
      </w:pPr>
      <w:r>
        <w:rPr>
          <w:rFonts w:hint="eastAsia"/>
          <w:sz w:val="24"/>
          <w:szCs w:val="24"/>
        </w:rPr>
        <w:t>5.2.2理事长、副理事长、秘书长最高任职年龄不超过70周岁，秘书长为专职；</w:t>
      </w:r>
    </w:p>
    <w:p>
      <w:pPr>
        <w:spacing w:line="360" w:lineRule="auto"/>
        <w:ind w:firstLine="480" w:firstLineChars="200"/>
        <w:rPr>
          <w:sz w:val="24"/>
          <w:szCs w:val="24"/>
        </w:rPr>
      </w:pPr>
      <w:r>
        <w:rPr>
          <w:rFonts w:hint="eastAsia"/>
          <w:sz w:val="24"/>
          <w:szCs w:val="24"/>
        </w:rPr>
        <w:t>5.2.3身体健康，能坚持正常工作；</w:t>
      </w:r>
    </w:p>
    <w:p>
      <w:pPr>
        <w:spacing w:line="360" w:lineRule="auto"/>
        <w:ind w:firstLine="480" w:firstLineChars="200"/>
        <w:rPr>
          <w:sz w:val="24"/>
          <w:szCs w:val="24"/>
        </w:rPr>
      </w:pPr>
      <w:r>
        <w:rPr>
          <w:rFonts w:hint="eastAsia"/>
          <w:sz w:val="24"/>
          <w:szCs w:val="24"/>
        </w:rPr>
        <w:t>5.2.4具有完全民事行为能力。</w:t>
      </w:r>
    </w:p>
    <w:p>
      <w:pPr>
        <w:spacing w:line="360" w:lineRule="auto"/>
        <w:ind w:firstLine="480" w:firstLineChars="200"/>
        <w:rPr>
          <w:sz w:val="24"/>
          <w:szCs w:val="24"/>
        </w:rPr>
      </w:pPr>
      <w:r>
        <w:rPr>
          <w:rFonts w:hint="eastAsia"/>
          <w:sz w:val="24"/>
          <w:szCs w:val="24"/>
        </w:rPr>
        <w:t xml:space="preserve">5.3 有下列情形之一的人员，不能担任本基金会的理事长、副理事长、秘书长：                                                                                   </w:t>
      </w:r>
    </w:p>
    <w:p>
      <w:pPr>
        <w:spacing w:line="360" w:lineRule="auto"/>
        <w:ind w:firstLine="480" w:firstLineChars="200"/>
        <w:rPr>
          <w:sz w:val="24"/>
          <w:szCs w:val="24"/>
        </w:rPr>
      </w:pPr>
      <w:r>
        <w:rPr>
          <w:rFonts w:hint="eastAsia"/>
          <w:sz w:val="24"/>
          <w:szCs w:val="24"/>
        </w:rPr>
        <w:t>5.3.1属于现职国家工作人员的；</w:t>
      </w:r>
    </w:p>
    <w:p>
      <w:pPr>
        <w:spacing w:line="360" w:lineRule="auto"/>
        <w:ind w:firstLine="480" w:firstLineChars="200"/>
        <w:rPr>
          <w:sz w:val="24"/>
          <w:szCs w:val="24"/>
        </w:rPr>
      </w:pPr>
      <w:r>
        <w:rPr>
          <w:rFonts w:hint="eastAsia"/>
          <w:sz w:val="24"/>
          <w:szCs w:val="24"/>
        </w:rPr>
        <w:t>5.3.</w:t>
      </w:r>
      <w:r>
        <w:rPr>
          <w:rFonts w:hint="eastAsia"/>
          <w:sz w:val="24"/>
          <w:szCs w:val="24"/>
          <w:lang w:val="en-US" w:eastAsia="zh-CN"/>
        </w:rPr>
        <w:t>2</w:t>
      </w:r>
      <w:r>
        <w:rPr>
          <w:rFonts w:hint="eastAsia"/>
          <w:sz w:val="24"/>
          <w:szCs w:val="24"/>
        </w:rPr>
        <w:t>因犯罪被判处管制、拘役或者有期徒刑，刑期执行完毕之日起未逾5年的；</w:t>
      </w:r>
    </w:p>
    <w:p>
      <w:pPr>
        <w:spacing w:line="360" w:lineRule="auto"/>
        <w:ind w:firstLine="480" w:firstLineChars="200"/>
        <w:rPr>
          <w:sz w:val="24"/>
          <w:szCs w:val="24"/>
        </w:rPr>
      </w:pPr>
      <w:r>
        <w:rPr>
          <w:rFonts w:hint="eastAsia"/>
          <w:sz w:val="24"/>
          <w:szCs w:val="24"/>
        </w:rPr>
        <w:t>5.3.3因犯罪被判处剥夺政治权利正在执行期间或者曾经被判处剥夺政治权利的；</w:t>
      </w:r>
    </w:p>
    <w:p>
      <w:pPr>
        <w:spacing w:line="360" w:lineRule="auto"/>
        <w:ind w:firstLine="480" w:firstLineChars="200"/>
        <w:rPr>
          <w:sz w:val="24"/>
          <w:szCs w:val="24"/>
        </w:rPr>
      </w:pPr>
      <w:r>
        <w:rPr>
          <w:rFonts w:hint="eastAsia"/>
          <w:sz w:val="24"/>
          <w:szCs w:val="24"/>
        </w:rPr>
        <w:t>5.3.4曾在因违法被撤销登记的基金会担任理事长、副理事长或者秘书长，且对该基金会的违法行为负有个人责任，自该基金会被撤销之日起未逾5年的。</w:t>
      </w:r>
    </w:p>
    <w:p>
      <w:pPr>
        <w:spacing w:line="360" w:lineRule="auto"/>
        <w:ind w:firstLine="480" w:firstLineChars="200"/>
        <w:rPr>
          <w:sz w:val="24"/>
          <w:szCs w:val="24"/>
        </w:rPr>
      </w:pPr>
      <w:r>
        <w:rPr>
          <w:rFonts w:hint="eastAsia"/>
          <w:sz w:val="24"/>
          <w:szCs w:val="24"/>
        </w:rPr>
        <w:t>5.4 担任本基金会副理事长或者秘书长的香港居民、澳门居民、台湾居民以及外国人，每年在中国内地居留时间不得少于3个月。</w:t>
      </w:r>
    </w:p>
    <w:p>
      <w:pPr>
        <w:spacing w:line="360" w:lineRule="auto"/>
        <w:ind w:firstLine="480" w:firstLineChars="200"/>
        <w:rPr>
          <w:sz w:val="24"/>
          <w:szCs w:val="24"/>
        </w:rPr>
      </w:pPr>
      <w:r>
        <w:rPr>
          <w:rFonts w:hint="eastAsia"/>
          <w:sz w:val="24"/>
          <w:szCs w:val="24"/>
        </w:rPr>
        <w:t>5.5本基金会的理事长、副理事长、秘书长每届任期3年，连任不超过两届。因特殊情况需超届连任的，须经理事会特殊程序表决通过，经登记管理机关批准同意后，方可任职。</w:t>
      </w:r>
    </w:p>
    <w:p>
      <w:pPr>
        <w:spacing w:line="360" w:lineRule="auto"/>
        <w:ind w:firstLine="480" w:firstLineChars="200"/>
        <w:rPr>
          <w:sz w:val="24"/>
          <w:szCs w:val="24"/>
        </w:rPr>
      </w:pPr>
      <w:r>
        <w:rPr>
          <w:rFonts w:hint="eastAsia"/>
          <w:sz w:val="24"/>
          <w:szCs w:val="24"/>
        </w:rPr>
        <w:t>5.6 本基金会理事长为基金会法定代表人。本基金会法定代表人不兼任其他组织的法定代表人。</w:t>
      </w:r>
    </w:p>
    <w:p>
      <w:pPr>
        <w:spacing w:line="360" w:lineRule="auto"/>
        <w:ind w:firstLine="480" w:firstLineChars="200"/>
        <w:rPr>
          <w:sz w:val="24"/>
          <w:szCs w:val="24"/>
        </w:rPr>
      </w:pPr>
      <w:r>
        <w:rPr>
          <w:rFonts w:hint="eastAsia"/>
          <w:sz w:val="24"/>
          <w:szCs w:val="24"/>
        </w:rPr>
        <w:t>5.7本基金会法定代表人应当由中国内地居民担任。</w:t>
      </w:r>
    </w:p>
    <w:p>
      <w:pPr>
        <w:spacing w:line="360" w:lineRule="auto"/>
        <w:ind w:firstLine="480" w:firstLineChars="200"/>
        <w:rPr>
          <w:sz w:val="24"/>
          <w:szCs w:val="24"/>
        </w:rPr>
      </w:pPr>
      <w:r>
        <w:rPr>
          <w:rFonts w:hint="eastAsia"/>
          <w:sz w:val="24"/>
          <w:szCs w:val="24"/>
        </w:rPr>
        <w:t>5.8本基金会法定代表人在任期间，基金会发生违反《基金会管理条例》和本章程的行为，法定代表人应当承担相关责任。因法定代表人失职，导致基金会发生违法行为或基金会财产损失的，法定代表人应当承担个人责任。</w:t>
      </w:r>
    </w:p>
    <w:p>
      <w:pPr>
        <w:spacing w:line="360" w:lineRule="auto"/>
        <w:ind w:firstLine="480" w:firstLineChars="200"/>
        <w:rPr>
          <w:sz w:val="24"/>
          <w:szCs w:val="24"/>
        </w:rPr>
      </w:pPr>
      <w:r>
        <w:rPr>
          <w:rFonts w:hint="eastAsia"/>
          <w:sz w:val="24"/>
          <w:szCs w:val="24"/>
        </w:rPr>
        <w:t>5.9本基金会副理事长、秘书长在理事长领导下开展工作，秘书长行使下列职权：</w:t>
      </w:r>
    </w:p>
    <w:p>
      <w:pPr>
        <w:spacing w:line="360" w:lineRule="auto"/>
        <w:ind w:firstLine="480" w:firstLineChars="200"/>
        <w:rPr>
          <w:sz w:val="24"/>
          <w:szCs w:val="24"/>
        </w:rPr>
      </w:pPr>
      <w:r>
        <w:rPr>
          <w:rFonts w:hint="eastAsia"/>
          <w:sz w:val="24"/>
          <w:szCs w:val="24"/>
        </w:rPr>
        <w:t xml:space="preserve">5.9.1主持开展日常工作，组织实施理事会决议；           </w:t>
      </w:r>
    </w:p>
    <w:p>
      <w:pPr>
        <w:spacing w:line="360" w:lineRule="auto"/>
        <w:ind w:firstLine="480" w:firstLineChars="200"/>
        <w:rPr>
          <w:sz w:val="24"/>
          <w:szCs w:val="24"/>
        </w:rPr>
      </w:pPr>
      <w:r>
        <w:rPr>
          <w:rFonts w:hint="eastAsia"/>
          <w:sz w:val="24"/>
          <w:szCs w:val="24"/>
        </w:rPr>
        <w:t xml:space="preserve">5.9.2组织实施基金会年度公益活动计划；                 </w:t>
      </w:r>
    </w:p>
    <w:p>
      <w:pPr>
        <w:spacing w:line="360" w:lineRule="auto"/>
        <w:ind w:firstLine="480" w:firstLineChars="200"/>
        <w:rPr>
          <w:sz w:val="24"/>
          <w:szCs w:val="24"/>
        </w:rPr>
      </w:pPr>
      <w:r>
        <w:rPr>
          <w:rFonts w:hint="eastAsia"/>
          <w:sz w:val="24"/>
          <w:szCs w:val="24"/>
        </w:rPr>
        <w:t xml:space="preserve">5.9.3拟订资金的管理和使用计划；                 </w:t>
      </w:r>
    </w:p>
    <w:p>
      <w:pPr>
        <w:spacing w:line="360" w:lineRule="auto"/>
        <w:ind w:firstLine="480" w:firstLineChars="200"/>
        <w:rPr>
          <w:sz w:val="24"/>
          <w:szCs w:val="24"/>
        </w:rPr>
      </w:pPr>
      <w:r>
        <w:rPr>
          <w:rFonts w:hint="eastAsia"/>
          <w:sz w:val="24"/>
          <w:szCs w:val="24"/>
        </w:rPr>
        <w:t xml:space="preserve">5.9.4拟订基金会的内部管理规章制度，报理事会审批；     </w:t>
      </w:r>
    </w:p>
    <w:p>
      <w:pPr>
        <w:spacing w:line="360" w:lineRule="auto"/>
        <w:ind w:firstLine="480" w:firstLineChars="200"/>
        <w:rPr>
          <w:sz w:val="24"/>
          <w:szCs w:val="24"/>
        </w:rPr>
      </w:pPr>
      <w:r>
        <w:rPr>
          <w:rFonts w:hint="eastAsia"/>
          <w:sz w:val="24"/>
          <w:szCs w:val="24"/>
        </w:rPr>
        <w:t xml:space="preserve">5.9.5协调各部门开展工作；                             </w:t>
      </w:r>
    </w:p>
    <w:p>
      <w:pPr>
        <w:spacing w:line="360" w:lineRule="auto"/>
        <w:ind w:firstLine="480" w:firstLineChars="200"/>
        <w:rPr>
          <w:sz w:val="24"/>
          <w:szCs w:val="24"/>
        </w:rPr>
      </w:pPr>
      <w:r>
        <w:rPr>
          <w:rFonts w:hint="eastAsia"/>
          <w:sz w:val="24"/>
          <w:szCs w:val="24"/>
        </w:rPr>
        <w:t>5.9.6提议聘任或解聘副秘书长以及财务负责人，由理事会决定；</w:t>
      </w:r>
    </w:p>
    <w:p>
      <w:pPr>
        <w:spacing w:line="360" w:lineRule="auto"/>
        <w:ind w:firstLine="480" w:firstLineChars="200"/>
        <w:rPr>
          <w:sz w:val="24"/>
          <w:szCs w:val="24"/>
        </w:rPr>
      </w:pPr>
      <w:r>
        <w:rPr>
          <w:rFonts w:hint="eastAsia"/>
          <w:sz w:val="24"/>
          <w:szCs w:val="24"/>
        </w:rPr>
        <w:t>5.9.7提议聘任或解聘各机构主要负责人，由理事会决定；</w:t>
      </w:r>
    </w:p>
    <w:p>
      <w:pPr>
        <w:spacing w:line="360" w:lineRule="auto"/>
        <w:ind w:firstLine="480" w:firstLineChars="200"/>
        <w:rPr>
          <w:sz w:val="24"/>
          <w:szCs w:val="24"/>
        </w:rPr>
      </w:pPr>
      <w:r>
        <w:rPr>
          <w:rFonts w:hint="eastAsia"/>
          <w:sz w:val="24"/>
          <w:szCs w:val="24"/>
        </w:rPr>
        <w:t xml:space="preserve">5.9.8决定各机构专职工作人员聘用；   </w:t>
      </w:r>
    </w:p>
    <w:p>
      <w:pPr>
        <w:spacing w:line="360" w:lineRule="auto"/>
        <w:ind w:firstLine="480" w:firstLineChars="200"/>
        <w:rPr>
          <w:sz w:val="24"/>
          <w:szCs w:val="24"/>
        </w:rPr>
      </w:pPr>
      <w:r>
        <w:rPr>
          <w:rFonts w:hint="eastAsia"/>
          <w:sz w:val="24"/>
          <w:szCs w:val="24"/>
        </w:rPr>
        <w:t>5.9.9章程和理事会赋予的其他职权。</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6．理事会会议</w:t>
      </w:r>
    </w:p>
    <w:p>
      <w:pPr>
        <w:spacing w:line="360" w:lineRule="auto"/>
        <w:ind w:firstLine="480" w:firstLineChars="200"/>
        <w:rPr>
          <w:sz w:val="24"/>
          <w:szCs w:val="24"/>
        </w:rPr>
      </w:pPr>
      <w:r>
        <w:rPr>
          <w:rFonts w:hint="eastAsia"/>
          <w:sz w:val="24"/>
          <w:szCs w:val="24"/>
        </w:rPr>
        <w:t>6.1理事会每年至少召开2次会议。理事会会议由理事长负责召集和主持。</w:t>
      </w:r>
    </w:p>
    <w:p>
      <w:pPr>
        <w:spacing w:line="360" w:lineRule="auto"/>
        <w:ind w:firstLine="480" w:firstLineChars="200"/>
        <w:rPr>
          <w:sz w:val="24"/>
          <w:szCs w:val="24"/>
        </w:rPr>
      </w:pPr>
      <w:r>
        <w:rPr>
          <w:rFonts w:hint="eastAsia"/>
          <w:sz w:val="24"/>
          <w:szCs w:val="24"/>
        </w:rPr>
        <w:t>6.2有1/3理事提议，必须召开理事会会议。如理事长不能召集，提议理事可推选召集人。</w:t>
      </w:r>
    </w:p>
    <w:p>
      <w:pPr>
        <w:spacing w:line="360" w:lineRule="auto"/>
        <w:ind w:firstLine="480" w:firstLineChars="200"/>
        <w:rPr>
          <w:sz w:val="24"/>
          <w:szCs w:val="24"/>
        </w:rPr>
      </w:pPr>
      <w:r>
        <w:rPr>
          <w:rFonts w:hint="eastAsia"/>
          <w:sz w:val="24"/>
          <w:szCs w:val="24"/>
        </w:rPr>
        <w:t>6.3召开理事会会议，理事长或召集人需提前5日通知全体理事、监事。</w:t>
      </w:r>
    </w:p>
    <w:p>
      <w:pPr>
        <w:spacing w:line="360" w:lineRule="auto"/>
        <w:ind w:firstLine="480" w:firstLineChars="200"/>
        <w:rPr>
          <w:sz w:val="24"/>
          <w:szCs w:val="24"/>
        </w:rPr>
      </w:pPr>
      <w:r>
        <w:rPr>
          <w:rFonts w:hint="eastAsia"/>
          <w:sz w:val="24"/>
          <w:szCs w:val="24"/>
        </w:rPr>
        <w:t>6.4理事会会议须有2/3以上理事出席方能召开；理事会决议须经出席理事过半数通过方为有效。</w:t>
      </w:r>
    </w:p>
    <w:p>
      <w:pPr>
        <w:spacing w:line="360" w:lineRule="auto"/>
        <w:ind w:firstLine="480" w:firstLineChars="200"/>
        <w:rPr>
          <w:sz w:val="24"/>
          <w:szCs w:val="24"/>
        </w:rPr>
      </w:pPr>
      <w:r>
        <w:rPr>
          <w:rFonts w:hint="eastAsia"/>
          <w:sz w:val="24"/>
          <w:szCs w:val="24"/>
        </w:rPr>
        <w:t>6.5下列重要事项的决议，须经出席理事表决，三分之二以上通过方为有效：</w:t>
      </w:r>
    </w:p>
    <w:p>
      <w:pPr>
        <w:spacing w:line="360" w:lineRule="auto"/>
        <w:ind w:firstLine="480" w:firstLineChars="200"/>
        <w:rPr>
          <w:sz w:val="24"/>
          <w:szCs w:val="24"/>
        </w:rPr>
      </w:pPr>
      <w:r>
        <w:rPr>
          <w:rFonts w:hint="eastAsia"/>
          <w:sz w:val="24"/>
          <w:szCs w:val="24"/>
        </w:rPr>
        <w:t>6.5.1章程的修改；</w:t>
      </w:r>
    </w:p>
    <w:p>
      <w:pPr>
        <w:spacing w:line="360" w:lineRule="auto"/>
        <w:ind w:firstLine="480" w:firstLineChars="200"/>
        <w:rPr>
          <w:sz w:val="24"/>
          <w:szCs w:val="24"/>
        </w:rPr>
      </w:pPr>
      <w:r>
        <w:rPr>
          <w:rFonts w:hint="eastAsia"/>
          <w:sz w:val="24"/>
          <w:szCs w:val="24"/>
        </w:rPr>
        <w:t>6.5.2选举或者罢免理事长、副理事长、秘书长；</w:t>
      </w:r>
    </w:p>
    <w:p>
      <w:pPr>
        <w:spacing w:line="360" w:lineRule="auto"/>
        <w:ind w:firstLine="480" w:firstLineChars="200"/>
        <w:rPr>
          <w:sz w:val="24"/>
          <w:szCs w:val="24"/>
        </w:rPr>
      </w:pPr>
      <w:r>
        <w:rPr>
          <w:rFonts w:hint="eastAsia"/>
          <w:sz w:val="24"/>
          <w:szCs w:val="24"/>
        </w:rPr>
        <w:t>6.5.3章程规定的重大投资活动；</w:t>
      </w:r>
    </w:p>
    <w:p>
      <w:pPr>
        <w:spacing w:line="360" w:lineRule="auto"/>
        <w:ind w:firstLine="480" w:firstLineChars="200"/>
        <w:rPr>
          <w:sz w:val="24"/>
          <w:szCs w:val="24"/>
        </w:rPr>
      </w:pPr>
      <w:r>
        <w:rPr>
          <w:rFonts w:hint="eastAsia"/>
          <w:sz w:val="24"/>
          <w:szCs w:val="24"/>
        </w:rPr>
        <w:t>6.5.4基金会的分立、合并。</w:t>
      </w:r>
    </w:p>
    <w:p>
      <w:pPr>
        <w:spacing w:line="360" w:lineRule="auto"/>
        <w:ind w:firstLine="480" w:firstLineChars="200"/>
        <w:rPr>
          <w:sz w:val="24"/>
          <w:szCs w:val="24"/>
        </w:rPr>
      </w:pPr>
      <w:r>
        <w:rPr>
          <w:rFonts w:hint="eastAsia"/>
          <w:sz w:val="24"/>
          <w:szCs w:val="24"/>
        </w:rPr>
        <w:t>6.6理事会会议应当制作会议记录。形成决议的，应当当场制作会议纪要，并由出席理事审阅、签名。理事会决议违反法律、法规或章程规定，致使基金会遭受损失的，参与决议的理事应承担责任。但经证明在表决时反对并记载于会议记录的，该理事可免除责任。</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7．理事会议案及决议执行</w:t>
      </w:r>
    </w:p>
    <w:p>
      <w:pPr>
        <w:spacing w:line="360" w:lineRule="auto"/>
        <w:ind w:firstLine="480" w:firstLineChars="200"/>
        <w:rPr>
          <w:sz w:val="24"/>
          <w:szCs w:val="24"/>
        </w:rPr>
      </w:pPr>
      <w:r>
        <w:rPr>
          <w:rFonts w:hint="eastAsia"/>
          <w:sz w:val="24"/>
          <w:szCs w:val="24"/>
        </w:rPr>
        <w:t>7.1各理事会成员、项目小组提出议案，理事会会议议定。</w:t>
      </w:r>
    </w:p>
    <w:p>
      <w:pPr>
        <w:spacing w:line="360" w:lineRule="auto"/>
        <w:ind w:firstLine="480" w:firstLineChars="200"/>
        <w:rPr>
          <w:sz w:val="24"/>
          <w:szCs w:val="24"/>
        </w:rPr>
      </w:pPr>
      <w:r>
        <w:rPr>
          <w:rFonts w:hint="eastAsia"/>
          <w:sz w:val="24"/>
          <w:szCs w:val="24"/>
        </w:rPr>
        <w:t>7.2 向理事会递交议案（草案）时，应一并提交该议案（草案）的说明文件、可行性分析报告、论证依据等材料。</w:t>
      </w:r>
    </w:p>
    <w:p>
      <w:pPr>
        <w:spacing w:line="360" w:lineRule="auto"/>
        <w:ind w:firstLine="480" w:firstLineChars="200"/>
        <w:rPr>
          <w:sz w:val="24"/>
          <w:szCs w:val="24"/>
        </w:rPr>
      </w:pPr>
      <w:r>
        <w:rPr>
          <w:rFonts w:hint="eastAsia"/>
          <w:sz w:val="24"/>
          <w:szCs w:val="24"/>
        </w:rPr>
        <w:t>7.3  理事会议案材料一般应在理事会会议召开前7天或临时理事会会议召开前3天，以书面方式递交理事会。</w:t>
      </w:r>
    </w:p>
    <w:p>
      <w:pPr>
        <w:spacing w:line="360" w:lineRule="auto"/>
        <w:ind w:firstLine="480" w:firstLineChars="200"/>
        <w:rPr>
          <w:sz w:val="24"/>
          <w:szCs w:val="24"/>
        </w:rPr>
      </w:pPr>
      <w:r>
        <w:rPr>
          <w:rFonts w:hint="eastAsia"/>
          <w:sz w:val="24"/>
          <w:szCs w:val="24"/>
        </w:rPr>
        <w:t>7.4 理事会对理事会议案（草案）收集整理后，由理事长或专题小组召集人决定是否作为理事会正式议案。</w:t>
      </w:r>
    </w:p>
    <w:p>
      <w:pPr>
        <w:spacing w:line="360" w:lineRule="auto"/>
        <w:ind w:firstLine="480" w:firstLineChars="200"/>
        <w:rPr>
          <w:sz w:val="24"/>
          <w:szCs w:val="24"/>
        </w:rPr>
      </w:pPr>
      <w:r>
        <w:rPr>
          <w:rFonts w:hint="eastAsia"/>
          <w:sz w:val="24"/>
          <w:szCs w:val="24"/>
        </w:rPr>
        <w:t>7.5 理事会所决定的事项经理事会会议通过后，应形成理事会决议，并以文件下发执行。</w:t>
      </w:r>
    </w:p>
    <w:p>
      <w:pPr>
        <w:spacing w:line="360" w:lineRule="auto"/>
        <w:ind w:firstLine="480" w:firstLineChars="200"/>
        <w:rPr>
          <w:sz w:val="24"/>
          <w:szCs w:val="24"/>
        </w:rPr>
      </w:pPr>
      <w:r>
        <w:rPr>
          <w:rFonts w:hint="eastAsia"/>
          <w:sz w:val="24"/>
          <w:szCs w:val="24"/>
        </w:rPr>
        <w:t>7.6 理事会的决议执行，由理事长或各专业小组负责人组织实施，并定期向理事会报告。</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8．附则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before="156" w:beforeLines="50" w:after="156" w:afterLines="50" w:line="360" w:lineRule="auto"/>
        <w:jc w:val="center"/>
        <w:outlineLvl w:val="1"/>
        <w:rPr>
          <w:rFonts w:ascii="黑体" w:hAnsi="黑体" w:eastAsia="黑体"/>
          <w:b/>
          <w:sz w:val="32"/>
          <w:szCs w:val="32"/>
        </w:rPr>
      </w:pPr>
      <w:bookmarkStart w:id="6" w:name="_Toc16357"/>
      <w:bookmarkStart w:id="7" w:name="_Toc403829177"/>
      <w:r>
        <w:rPr>
          <w:rFonts w:hint="eastAsia" w:ascii="黑体" w:hAnsi="黑体" w:eastAsia="黑体"/>
          <w:b/>
          <w:sz w:val="32"/>
          <w:szCs w:val="32"/>
        </w:rPr>
        <w:t xml:space="preserve">四 </w:t>
      </w:r>
      <w:r>
        <w:rPr>
          <w:rFonts w:hint="eastAsia" w:ascii="黑体" w:hAnsi="黑体" w:eastAsia="黑体"/>
          <w:b/>
          <w:sz w:val="32"/>
          <w:szCs w:val="32"/>
          <w:lang w:eastAsia="zh-CN"/>
        </w:rPr>
        <w:t>北京天地文化发展</w:t>
      </w:r>
      <w:r>
        <w:rPr>
          <w:rFonts w:hint="eastAsia" w:ascii="黑体" w:hAnsi="黑体" w:eastAsia="黑体"/>
          <w:b/>
          <w:sz w:val="32"/>
          <w:szCs w:val="32"/>
        </w:rPr>
        <w:t>基金会法人登记证书保管、使用管理制度</w:t>
      </w:r>
      <w:bookmarkEnd w:id="6"/>
      <w:bookmarkEnd w:id="7"/>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1.1为完善</w:t>
      </w:r>
      <w:r>
        <w:rPr>
          <w:rFonts w:hint="eastAsia"/>
          <w:sz w:val="24"/>
          <w:szCs w:val="24"/>
          <w:lang w:eastAsia="zh-CN"/>
        </w:rPr>
        <w:t>北京天地文化发展</w:t>
      </w:r>
      <w:r>
        <w:rPr>
          <w:rFonts w:hint="eastAsia"/>
          <w:sz w:val="24"/>
          <w:szCs w:val="24"/>
        </w:rPr>
        <w:t>基金会（以下简称“本基金会”）的制度建设，规范本基金会日常工作行为，依据国务院《中华人民共和和慈善法》、《基金会管理条例》、《</w:t>
      </w:r>
      <w:r>
        <w:rPr>
          <w:rFonts w:hint="eastAsia"/>
          <w:sz w:val="24"/>
          <w:szCs w:val="24"/>
          <w:lang w:eastAsia="zh-CN"/>
        </w:rPr>
        <w:t>北京天地文化发展</w:t>
      </w:r>
      <w:r>
        <w:rPr>
          <w:rFonts w:hint="eastAsia"/>
          <w:sz w:val="24"/>
          <w:szCs w:val="24"/>
        </w:rPr>
        <w:t>基金会章程》以及相关规定，特制定本制度。</w:t>
      </w:r>
    </w:p>
    <w:p>
      <w:pPr>
        <w:spacing w:line="360" w:lineRule="auto"/>
        <w:ind w:firstLine="480" w:firstLineChars="200"/>
        <w:rPr>
          <w:sz w:val="24"/>
          <w:szCs w:val="24"/>
        </w:rPr>
      </w:pPr>
      <w:r>
        <w:rPr>
          <w:rFonts w:hint="eastAsia"/>
          <w:sz w:val="24"/>
          <w:szCs w:val="24"/>
        </w:rPr>
        <w:t>1.2本基金会法人登记证书是登记管理机关北京市民政局依法给予核准登记、确认本基金会法人资格的法定凭证，分为正本和副本。</w:t>
      </w:r>
    </w:p>
    <w:p>
      <w:pPr>
        <w:spacing w:line="360" w:lineRule="auto"/>
        <w:ind w:firstLine="480" w:firstLineChars="200"/>
        <w:rPr>
          <w:sz w:val="24"/>
          <w:szCs w:val="24"/>
        </w:rPr>
      </w:pPr>
      <w:r>
        <w:rPr>
          <w:rFonts w:hint="eastAsia"/>
          <w:sz w:val="24"/>
          <w:szCs w:val="24"/>
        </w:rPr>
        <w:t>1.3登记证书正本须在办公场所明显位置悬挂。</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2．法人登记证书管理、保管与使用</w:t>
      </w:r>
    </w:p>
    <w:p>
      <w:pPr>
        <w:spacing w:line="360" w:lineRule="auto"/>
        <w:ind w:firstLine="480" w:firstLineChars="200"/>
        <w:rPr>
          <w:sz w:val="24"/>
          <w:szCs w:val="24"/>
        </w:rPr>
      </w:pPr>
      <w:r>
        <w:rPr>
          <w:rFonts w:hint="eastAsia"/>
          <w:sz w:val="24"/>
          <w:szCs w:val="24"/>
        </w:rPr>
        <w:t>2.1本基金会法人登记证书由常设办事机构基金会综合管理部负责保管。</w:t>
      </w:r>
    </w:p>
    <w:p>
      <w:pPr>
        <w:spacing w:line="360" w:lineRule="auto"/>
        <w:ind w:firstLine="480" w:firstLineChars="200"/>
        <w:rPr>
          <w:sz w:val="24"/>
          <w:szCs w:val="24"/>
        </w:rPr>
      </w:pPr>
      <w:r>
        <w:rPr>
          <w:rFonts w:hint="eastAsia"/>
          <w:sz w:val="24"/>
          <w:szCs w:val="24"/>
        </w:rPr>
        <w:t>2.2原件原则上不外借，不得将证书带离办公室，遇有特殊情况确需使用原件时，需填写《法人登记证书使用申请表》，经本基金会执行秘书长签字同意后，方能借用。办公人员因公借用，应先向本基金会综合管理处提出申请，填写使用申请表，经执行秘书长签字同意后，方能借用。外出办事后应将借用的相关证件及时归还，使用过程中应注意保管，以防证件损坏、丢失。</w:t>
      </w:r>
    </w:p>
    <w:p>
      <w:pPr>
        <w:spacing w:line="360" w:lineRule="auto"/>
        <w:ind w:firstLine="480" w:firstLineChars="200"/>
        <w:rPr>
          <w:sz w:val="24"/>
          <w:szCs w:val="24"/>
        </w:rPr>
      </w:pPr>
      <w:r>
        <w:rPr>
          <w:rFonts w:hint="eastAsia"/>
          <w:sz w:val="24"/>
          <w:szCs w:val="24"/>
        </w:rPr>
        <w:t>2.3因故导致证件的损坏或丢失，基金会综合管理部需立即按相关的制度和程序，向有关单位办理证件的挂失、补办等手续。</w:t>
      </w:r>
    </w:p>
    <w:p>
      <w:pPr>
        <w:spacing w:line="360" w:lineRule="auto"/>
        <w:ind w:firstLine="480" w:firstLineChars="200"/>
        <w:rPr>
          <w:sz w:val="24"/>
          <w:szCs w:val="24"/>
        </w:rPr>
      </w:pPr>
      <w:r>
        <w:rPr>
          <w:rFonts w:hint="eastAsia"/>
          <w:sz w:val="24"/>
          <w:szCs w:val="24"/>
        </w:rPr>
        <w:t>2.4因公使用本基金会法人登记证书复印件，须填写《法人登记证书使用申请表》，经本基金会执行秘书长签字后方可使用。所需法人登记证书复印件由本基金会综合管理部负责复印，并进行登记编号，连同申请表一并存档。</w:t>
      </w:r>
    </w:p>
    <w:p>
      <w:pPr>
        <w:spacing w:line="360" w:lineRule="auto"/>
        <w:ind w:firstLine="480" w:firstLineChars="200"/>
        <w:rPr>
          <w:sz w:val="24"/>
          <w:szCs w:val="24"/>
        </w:rPr>
      </w:pPr>
      <w:r>
        <w:rPr>
          <w:rFonts w:hint="eastAsia"/>
          <w:sz w:val="24"/>
          <w:szCs w:val="24"/>
        </w:rPr>
        <w:t xml:space="preserve">2.5任何人不得私自复印并擅自使用法人登记证书，禁止超越申请范围使用法人登记证书。 </w:t>
      </w:r>
    </w:p>
    <w:p>
      <w:pPr>
        <w:spacing w:line="360" w:lineRule="auto"/>
        <w:ind w:firstLine="480" w:firstLineChars="200"/>
        <w:rPr>
          <w:sz w:val="24"/>
          <w:szCs w:val="24"/>
        </w:rPr>
      </w:pPr>
      <w:r>
        <w:rPr>
          <w:rFonts w:hint="eastAsia"/>
          <w:sz w:val="24"/>
          <w:szCs w:val="24"/>
        </w:rPr>
        <w:t>2.6严格按照登记管理机关的规定，由管理人员在规定的时间内到指定部门进行年检，并在证书上加盖年检部门的年检印章。</w:t>
      </w:r>
    </w:p>
    <w:p>
      <w:pPr>
        <w:spacing w:line="360" w:lineRule="auto"/>
        <w:ind w:firstLine="480" w:firstLineChars="200"/>
        <w:rPr>
          <w:sz w:val="24"/>
          <w:szCs w:val="24"/>
        </w:rPr>
      </w:pPr>
      <w:r>
        <w:rPr>
          <w:rFonts w:hint="eastAsia"/>
          <w:sz w:val="24"/>
          <w:szCs w:val="24"/>
        </w:rPr>
        <w:t>2.7证件保管人员如遇人事变动，应在调（离）职前办好证件保管工作的交接手续，把证件保管工作移交给接收人，并交代清楚相关的注意事项。</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3．附则</w:t>
      </w:r>
    </w:p>
    <w:p>
      <w:pPr>
        <w:spacing w:line="360" w:lineRule="auto"/>
        <w:ind w:firstLine="480" w:firstLineChars="200"/>
        <w:rPr>
          <w:rFonts w:hint="eastAsia"/>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p>
    <w:p>
      <w:pPr>
        <w:spacing w:line="360" w:lineRule="auto"/>
        <w:ind w:firstLine="480" w:firstLineChars="200"/>
        <w:rPr>
          <w:rFonts w:hint="default" w:eastAsiaTheme="minorEastAsia"/>
          <w:sz w:val="24"/>
          <w:szCs w:val="24"/>
          <w:lang w:val="en-US" w:eastAsia="zh-CN"/>
        </w:rPr>
      </w:pPr>
      <w:r>
        <w:rPr>
          <w:rFonts w:hint="eastAsia"/>
          <w:sz w:val="24"/>
          <w:szCs w:val="24"/>
          <w:lang w:val="en-US" w:eastAsia="zh-CN"/>
        </w:rPr>
        <w:t>其他重要证书参照法人登记证书保管、使用制度执行。</w:t>
      </w:r>
      <w:bookmarkStart w:id="131" w:name="_GoBack"/>
      <w:bookmarkEnd w:id="131"/>
    </w:p>
    <w:p>
      <w:pPr>
        <w:spacing w:line="360" w:lineRule="auto"/>
        <w:rPr>
          <w:sz w:val="24"/>
          <w:szCs w:val="24"/>
        </w:rPr>
      </w:pPr>
    </w:p>
    <w:p>
      <w:pPr>
        <w:spacing w:before="156" w:beforeLines="50" w:after="156" w:afterLines="50" w:line="360" w:lineRule="auto"/>
        <w:jc w:val="center"/>
        <w:outlineLvl w:val="1"/>
        <w:rPr>
          <w:rFonts w:ascii="黑体" w:hAnsi="黑体" w:eastAsia="黑体"/>
          <w:b/>
          <w:sz w:val="32"/>
          <w:szCs w:val="32"/>
        </w:rPr>
      </w:pPr>
      <w:bookmarkStart w:id="8" w:name="_Toc21973"/>
      <w:bookmarkStart w:id="9" w:name="_Toc403829178"/>
      <w:r>
        <w:rPr>
          <w:rFonts w:hint="eastAsia" w:ascii="黑体" w:hAnsi="黑体" w:eastAsia="黑体"/>
          <w:b/>
          <w:sz w:val="32"/>
          <w:szCs w:val="32"/>
        </w:rPr>
        <w:t xml:space="preserve">五 </w:t>
      </w:r>
      <w:r>
        <w:rPr>
          <w:rFonts w:hint="eastAsia" w:ascii="黑体" w:hAnsi="黑体" w:eastAsia="黑体"/>
          <w:b/>
          <w:sz w:val="32"/>
          <w:szCs w:val="32"/>
          <w:lang w:eastAsia="zh-CN"/>
        </w:rPr>
        <w:t>北京天地文化发展</w:t>
      </w:r>
      <w:r>
        <w:rPr>
          <w:rFonts w:hint="eastAsia" w:ascii="黑体" w:hAnsi="黑体" w:eastAsia="黑体"/>
          <w:b/>
          <w:sz w:val="32"/>
          <w:szCs w:val="32"/>
        </w:rPr>
        <w:t>基金会印章保管、使用管理制度</w:t>
      </w:r>
      <w:bookmarkEnd w:id="8"/>
      <w:bookmarkEnd w:id="9"/>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 xml:space="preserve">1．总则 </w:t>
      </w:r>
    </w:p>
    <w:p>
      <w:pPr>
        <w:spacing w:line="360" w:lineRule="auto"/>
        <w:ind w:firstLine="480" w:firstLineChars="200"/>
        <w:rPr>
          <w:sz w:val="24"/>
          <w:szCs w:val="24"/>
        </w:rPr>
      </w:pPr>
      <w:r>
        <w:rPr>
          <w:rFonts w:hint="eastAsia"/>
          <w:sz w:val="24"/>
          <w:szCs w:val="24"/>
        </w:rPr>
        <w:t>1.1为完善</w:t>
      </w:r>
      <w:r>
        <w:rPr>
          <w:rFonts w:hint="eastAsia"/>
          <w:sz w:val="24"/>
          <w:szCs w:val="24"/>
          <w:lang w:eastAsia="zh-CN"/>
        </w:rPr>
        <w:t>北京天地文化发展</w:t>
      </w:r>
      <w:r>
        <w:rPr>
          <w:rFonts w:hint="eastAsia"/>
          <w:sz w:val="24"/>
          <w:szCs w:val="24"/>
        </w:rPr>
        <w:t>基金会（以下简称“本基金会”）的制度建设，规范工作行为，提高工作效率，保证印章使用的严肃性，维护本基金会的公益形象，依据《中华人民共和国慈善法》、《基金会管理条例》、《</w:t>
      </w:r>
      <w:r>
        <w:rPr>
          <w:rFonts w:hint="eastAsia"/>
          <w:sz w:val="24"/>
          <w:szCs w:val="24"/>
          <w:lang w:eastAsia="zh-CN"/>
        </w:rPr>
        <w:t>北京天地文化发展</w:t>
      </w:r>
      <w:r>
        <w:rPr>
          <w:rFonts w:hint="eastAsia"/>
          <w:sz w:val="24"/>
          <w:szCs w:val="24"/>
        </w:rPr>
        <w:t>基金会章程》及其他相关规定，特制定本制度。</w:t>
      </w:r>
    </w:p>
    <w:p>
      <w:pPr>
        <w:spacing w:line="360" w:lineRule="auto"/>
        <w:ind w:firstLine="480" w:firstLineChars="200"/>
        <w:rPr>
          <w:sz w:val="24"/>
          <w:szCs w:val="24"/>
        </w:rPr>
      </w:pPr>
      <w:r>
        <w:rPr>
          <w:rFonts w:hint="eastAsia"/>
          <w:sz w:val="24"/>
          <w:szCs w:val="24"/>
        </w:rPr>
        <w:t>1.2本制度适用于本基金会印章刻制、使用、变更和缴销等管理活动。</w:t>
      </w:r>
    </w:p>
    <w:p>
      <w:pPr>
        <w:spacing w:line="360" w:lineRule="auto"/>
        <w:ind w:firstLine="480" w:firstLineChars="200"/>
        <w:rPr>
          <w:sz w:val="24"/>
          <w:szCs w:val="24"/>
        </w:rPr>
      </w:pPr>
      <w:r>
        <w:rPr>
          <w:rFonts w:hint="eastAsia"/>
          <w:sz w:val="24"/>
          <w:szCs w:val="24"/>
        </w:rPr>
        <w:t>1.3本制度所称的基金会印章包括本基金会公章、财务专用章、发票专用章、税务代码章和法人名章等。</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 印章管理、使用与销毁</w:t>
      </w:r>
    </w:p>
    <w:p>
      <w:pPr>
        <w:spacing w:line="360" w:lineRule="auto"/>
        <w:ind w:firstLine="480" w:firstLineChars="200"/>
        <w:rPr>
          <w:sz w:val="24"/>
          <w:szCs w:val="24"/>
        </w:rPr>
      </w:pPr>
      <w:r>
        <w:rPr>
          <w:rFonts w:hint="eastAsia"/>
          <w:sz w:val="24"/>
          <w:szCs w:val="24"/>
        </w:rPr>
        <w:t>2.1本基金会的印章须由基金会综合管理部依照相关法律法规的规定，统一报批（报备）刻制，严禁各部门或相关工作人员私自刻章。</w:t>
      </w:r>
    </w:p>
    <w:p>
      <w:pPr>
        <w:spacing w:line="360" w:lineRule="auto"/>
        <w:ind w:firstLine="480" w:firstLineChars="200"/>
        <w:rPr>
          <w:sz w:val="24"/>
          <w:szCs w:val="24"/>
        </w:rPr>
      </w:pPr>
      <w:r>
        <w:rPr>
          <w:rFonts w:hint="eastAsia"/>
          <w:sz w:val="24"/>
          <w:szCs w:val="24"/>
        </w:rPr>
        <w:t>2.2印章刻就后，由基金会综合管理部发文启用，并报送主管部门备案。</w:t>
      </w:r>
    </w:p>
    <w:p>
      <w:pPr>
        <w:spacing w:line="360" w:lineRule="auto"/>
        <w:ind w:firstLine="480" w:firstLineChars="200"/>
        <w:rPr>
          <w:sz w:val="24"/>
          <w:szCs w:val="24"/>
        </w:rPr>
      </w:pPr>
      <w:r>
        <w:rPr>
          <w:rFonts w:hint="eastAsia"/>
          <w:sz w:val="24"/>
          <w:szCs w:val="24"/>
        </w:rPr>
        <w:t>2.3 印章保管部门：</w:t>
      </w:r>
    </w:p>
    <w:p>
      <w:pPr>
        <w:spacing w:line="360" w:lineRule="auto"/>
        <w:ind w:firstLine="480" w:firstLineChars="200"/>
        <w:rPr>
          <w:sz w:val="24"/>
          <w:szCs w:val="24"/>
        </w:rPr>
      </w:pPr>
      <w:r>
        <w:rPr>
          <w:rFonts w:hint="eastAsia"/>
          <w:sz w:val="24"/>
          <w:szCs w:val="24"/>
        </w:rPr>
        <w:t>2.3.1基金会公章由综合管理部保管；</w:t>
      </w:r>
    </w:p>
    <w:p>
      <w:pPr>
        <w:spacing w:line="360" w:lineRule="auto"/>
        <w:ind w:firstLine="480" w:firstLineChars="200"/>
        <w:rPr>
          <w:sz w:val="24"/>
          <w:szCs w:val="24"/>
        </w:rPr>
      </w:pPr>
      <w:r>
        <w:rPr>
          <w:rFonts w:hint="eastAsia"/>
          <w:sz w:val="24"/>
          <w:szCs w:val="24"/>
        </w:rPr>
        <w:t>2.3.2财务专用章和发票专用章由财务部门保管；</w:t>
      </w:r>
    </w:p>
    <w:p>
      <w:pPr>
        <w:spacing w:line="360" w:lineRule="auto"/>
        <w:ind w:firstLine="480" w:firstLineChars="200"/>
        <w:rPr>
          <w:sz w:val="24"/>
          <w:szCs w:val="24"/>
        </w:rPr>
      </w:pPr>
      <w:r>
        <w:rPr>
          <w:rFonts w:hint="eastAsia"/>
          <w:sz w:val="24"/>
          <w:szCs w:val="24"/>
        </w:rPr>
        <w:t>2.3.</w:t>
      </w:r>
      <w:r>
        <w:rPr>
          <w:rFonts w:hint="eastAsia"/>
          <w:sz w:val="24"/>
          <w:szCs w:val="24"/>
          <w:lang w:val="en-US" w:eastAsia="zh-CN"/>
        </w:rPr>
        <w:t>3</w:t>
      </w:r>
      <w:r>
        <w:rPr>
          <w:rFonts w:hint="eastAsia"/>
          <w:sz w:val="24"/>
          <w:szCs w:val="24"/>
        </w:rPr>
        <w:t>法人名章，若为印鉴使用，则由秘书长委托财务部门专人保管；</w:t>
      </w:r>
    </w:p>
    <w:p>
      <w:pPr>
        <w:spacing w:line="360" w:lineRule="auto"/>
        <w:ind w:firstLine="480" w:firstLineChars="200"/>
        <w:rPr>
          <w:sz w:val="24"/>
          <w:szCs w:val="24"/>
        </w:rPr>
      </w:pPr>
      <w:r>
        <w:rPr>
          <w:rFonts w:hint="eastAsia"/>
          <w:sz w:val="24"/>
          <w:szCs w:val="24"/>
        </w:rPr>
        <w:t>2.</w:t>
      </w:r>
      <w:r>
        <w:rPr>
          <w:rFonts w:hint="eastAsia"/>
          <w:sz w:val="24"/>
          <w:szCs w:val="24"/>
          <w:lang w:val="en-US" w:eastAsia="zh-CN"/>
        </w:rPr>
        <w:t>3</w:t>
      </w:r>
      <w:r>
        <w:rPr>
          <w:rFonts w:hint="eastAsia"/>
          <w:sz w:val="24"/>
          <w:szCs w:val="24"/>
        </w:rPr>
        <w:t>.</w:t>
      </w:r>
      <w:r>
        <w:rPr>
          <w:rFonts w:hint="eastAsia"/>
          <w:sz w:val="24"/>
          <w:szCs w:val="24"/>
          <w:lang w:val="en-US" w:eastAsia="zh-CN"/>
        </w:rPr>
        <w:t>4</w:t>
      </w:r>
      <w:r>
        <w:rPr>
          <w:rFonts w:hint="eastAsia"/>
          <w:sz w:val="24"/>
          <w:szCs w:val="24"/>
        </w:rPr>
        <w:t>印章由专人保管，在安全、加密柜、橱中存放，加盖印章须由印章保管人亲自操作，公文及重要印件须建档备查。</w:t>
      </w:r>
    </w:p>
    <w:p>
      <w:pPr>
        <w:spacing w:line="360" w:lineRule="auto"/>
        <w:ind w:firstLine="480" w:firstLineChars="200"/>
        <w:rPr>
          <w:sz w:val="24"/>
          <w:szCs w:val="24"/>
        </w:rPr>
      </w:pPr>
      <w:r>
        <w:rPr>
          <w:rFonts w:hint="eastAsia"/>
          <w:sz w:val="24"/>
          <w:szCs w:val="24"/>
        </w:rPr>
        <w:t>2.4印章使用范围：</w:t>
      </w:r>
    </w:p>
    <w:p>
      <w:pPr>
        <w:spacing w:line="360" w:lineRule="auto"/>
        <w:ind w:firstLine="480" w:firstLineChars="200"/>
        <w:rPr>
          <w:sz w:val="24"/>
          <w:szCs w:val="24"/>
        </w:rPr>
      </w:pPr>
      <w:r>
        <w:rPr>
          <w:rFonts w:hint="eastAsia"/>
          <w:sz w:val="24"/>
          <w:szCs w:val="24"/>
        </w:rPr>
        <w:t>2.4.1由本基金会核发的文件应盖基金会公章；</w:t>
      </w:r>
    </w:p>
    <w:p>
      <w:pPr>
        <w:spacing w:line="360" w:lineRule="auto"/>
        <w:ind w:firstLine="480" w:firstLineChars="200"/>
        <w:rPr>
          <w:sz w:val="24"/>
          <w:szCs w:val="24"/>
        </w:rPr>
      </w:pPr>
      <w:r>
        <w:rPr>
          <w:rFonts w:hint="eastAsia"/>
          <w:sz w:val="24"/>
          <w:szCs w:val="24"/>
        </w:rPr>
        <w:t>2.4.2本基金会对外签订的各种项目合同、协议应盖基金会公章；</w:t>
      </w:r>
    </w:p>
    <w:p>
      <w:pPr>
        <w:spacing w:line="360" w:lineRule="auto"/>
        <w:ind w:firstLine="480" w:firstLineChars="200"/>
        <w:rPr>
          <w:sz w:val="24"/>
          <w:szCs w:val="24"/>
        </w:rPr>
      </w:pPr>
      <w:r>
        <w:rPr>
          <w:rFonts w:hint="eastAsia"/>
          <w:sz w:val="24"/>
          <w:szCs w:val="24"/>
        </w:rPr>
        <w:t>2.4.3本基金会用于资金往来、纳税、开具发票时应盖基金会财务专用章和发票专用章。</w:t>
      </w:r>
    </w:p>
    <w:p>
      <w:pPr>
        <w:spacing w:line="360" w:lineRule="auto"/>
        <w:ind w:firstLine="480" w:firstLineChars="200"/>
        <w:rPr>
          <w:sz w:val="24"/>
          <w:szCs w:val="24"/>
        </w:rPr>
      </w:pPr>
      <w:r>
        <w:rPr>
          <w:rFonts w:hint="eastAsia"/>
          <w:sz w:val="24"/>
          <w:szCs w:val="24"/>
        </w:rPr>
        <w:t>2.5印章使用审批：</w:t>
      </w:r>
    </w:p>
    <w:p>
      <w:pPr>
        <w:spacing w:line="360" w:lineRule="auto"/>
        <w:ind w:firstLine="480" w:firstLineChars="200"/>
        <w:rPr>
          <w:sz w:val="24"/>
          <w:szCs w:val="24"/>
        </w:rPr>
      </w:pPr>
      <w:r>
        <w:rPr>
          <w:rFonts w:hint="eastAsia"/>
          <w:sz w:val="24"/>
          <w:szCs w:val="24"/>
        </w:rPr>
        <w:t>2.5.1代表本基金会签署的合同、章程、协议、报告、文件，需要加盖本基金会公章时，必须经本基金会理事长或秘书长签署用章通知单，方可在文件上盖章；</w:t>
      </w:r>
    </w:p>
    <w:p>
      <w:pPr>
        <w:spacing w:line="360" w:lineRule="auto"/>
        <w:ind w:firstLine="480" w:firstLineChars="200"/>
        <w:rPr>
          <w:sz w:val="24"/>
          <w:szCs w:val="24"/>
        </w:rPr>
      </w:pPr>
      <w:r>
        <w:rPr>
          <w:rFonts w:hint="eastAsia"/>
          <w:sz w:val="24"/>
          <w:szCs w:val="24"/>
        </w:rPr>
        <w:t>2.5.2代表本基金会签署的一般项目合同，需要加盖基金会项目合同章时，必须经本基金会理事长或秘书长委托人签署《印章使用申请表》，印章保管人在审核用章审批程序无误后，方可在合同上盖章；</w:t>
      </w:r>
    </w:p>
    <w:p>
      <w:pPr>
        <w:spacing w:line="360" w:lineRule="auto"/>
        <w:ind w:firstLine="480" w:firstLineChars="200"/>
        <w:rPr>
          <w:sz w:val="24"/>
          <w:szCs w:val="24"/>
        </w:rPr>
      </w:pPr>
      <w:r>
        <w:rPr>
          <w:rFonts w:hint="eastAsia"/>
          <w:sz w:val="24"/>
          <w:szCs w:val="24"/>
        </w:rPr>
        <w:t>2.5.3由经办人申请并经本基金会理事长或秘书长签字同意的付款事项，经财务人员对原始凭证进行审核无误后，加盖基金会财务专用印鉴予以支付；</w:t>
      </w:r>
    </w:p>
    <w:p>
      <w:pPr>
        <w:spacing w:line="360" w:lineRule="auto"/>
        <w:ind w:firstLine="480" w:firstLineChars="200"/>
        <w:rPr>
          <w:sz w:val="24"/>
          <w:szCs w:val="24"/>
        </w:rPr>
      </w:pPr>
      <w:r>
        <w:rPr>
          <w:rFonts w:hint="eastAsia"/>
          <w:sz w:val="24"/>
          <w:szCs w:val="24"/>
        </w:rPr>
        <w:t>2.5.4 印章保管人应对文件内容和印章使用单上载明的签署情况予以核对，经核对无误方可盖章；</w:t>
      </w:r>
    </w:p>
    <w:p>
      <w:pPr>
        <w:spacing w:line="360" w:lineRule="auto"/>
        <w:ind w:firstLine="480" w:firstLineChars="200"/>
        <w:rPr>
          <w:sz w:val="24"/>
          <w:szCs w:val="24"/>
        </w:rPr>
      </w:pPr>
      <w:r>
        <w:rPr>
          <w:rFonts w:hint="eastAsia"/>
          <w:sz w:val="24"/>
          <w:szCs w:val="24"/>
        </w:rPr>
        <w:t>2.5.5各部门申请刻制印章，由主管领导批准，由综合管理部办理刻制；</w:t>
      </w:r>
    </w:p>
    <w:p>
      <w:pPr>
        <w:spacing w:line="360" w:lineRule="auto"/>
        <w:ind w:firstLine="480" w:firstLineChars="200"/>
        <w:rPr>
          <w:sz w:val="24"/>
          <w:szCs w:val="24"/>
        </w:rPr>
      </w:pPr>
      <w:r>
        <w:rPr>
          <w:rFonts w:hint="eastAsia"/>
          <w:sz w:val="24"/>
          <w:szCs w:val="24"/>
        </w:rPr>
        <w:t>2.5.6 印章原则上不携带外出，确因业务需要将印章带出使用的，应事先填写《印章使用申请单》，说明事项，经秘书长批准后由两人以上共同携带使用；</w:t>
      </w:r>
    </w:p>
    <w:p>
      <w:pPr>
        <w:spacing w:line="360" w:lineRule="auto"/>
        <w:ind w:firstLine="480" w:firstLineChars="200"/>
        <w:rPr>
          <w:sz w:val="24"/>
          <w:szCs w:val="24"/>
        </w:rPr>
      </w:pPr>
      <w:r>
        <w:rPr>
          <w:rFonts w:hint="eastAsia"/>
          <w:sz w:val="24"/>
          <w:szCs w:val="24"/>
        </w:rPr>
        <w:t>2.5.7监印人对未经批示的文件，不得擅自用印。</w:t>
      </w:r>
    </w:p>
    <w:p>
      <w:pPr>
        <w:spacing w:line="360" w:lineRule="auto"/>
        <w:ind w:firstLine="480" w:firstLineChars="200"/>
        <w:rPr>
          <w:sz w:val="24"/>
          <w:szCs w:val="24"/>
        </w:rPr>
      </w:pPr>
      <w:r>
        <w:rPr>
          <w:rFonts w:hint="eastAsia"/>
          <w:sz w:val="24"/>
          <w:szCs w:val="24"/>
        </w:rPr>
        <w:t>2.6 实行印章使用登记备案制度，记录每次印章使用的目的、部门、人员和时间等信息，登记信息由综合管理部统一管理。</w:t>
      </w:r>
    </w:p>
    <w:p>
      <w:pPr>
        <w:spacing w:line="360" w:lineRule="auto"/>
        <w:ind w:firstLine="480" w:firstLineChars="200"/>
        <w:rPr>
          <w:sz w:val="24"/>
          <w:szCs w:val="24"/>
        </w:rPr>
      </w:pPr>
      <w:r>
        <w:rPr>
          <w:rFonts w:hint="eastAsia"/>
          <w:sz w:val="24"/>
          <w:szCs w:val="24"/>
        </w:rPr>
        <w:t>2.7当名称变更或机构撤销时，印章即行停用。停用印章要发文通知有关单位，并在通知中说明原因。</w:t>
      </w:r>
    </w:p>
    <w:p>
      <w:pPr>
        <w:spacing w:line="360" w:lineRule="auto"/>
        <w:ind w:firstLine="480" w:firstLineChars="200"/>
        <w:rPr>
          <w:sz w:val="24"/>
          <w:szCs w:val="24"/>
        </w:rPr>
      </w:pPr>
      <w:r>
        <w:rPr>
          <w:rFonts w:hint="eastAsia"/>
          <w:sz w:val="24"/>
          <w:szCs w:val="24"/>
        </w:rPr>
        <w:t>2.8 未经相应批准程序使用印章或伪制印章，要追究当事人的相应责任；造成严重后果的，要提请有关机关追究当事人的法律责任。</w:t>
      </w:r>
    </w:p>
    <w:p>
      <w:pPr>
        <w:spacing w:line="360" w:lineRule="auto"/>
        <w:ind w:firstLine="480" w:firstLineChars="200"/>
        <w:rPr>
          <w:sz w:val="24"/>
          <w:szCs w:val="24"/>
        </w:rPr>
      </w:pPr>
      <w:r>
        <w:rPr>
          <w:rFonts w:hint="eastAsia"/>
          <w:sz w:val="24"/>
          <w:szCs w:val="24"/>
        </w:rPr>
        <w:t xml:space="preserve">2.9 对暂停使用的印章，由综合管理部封存，旧印章在变更新章后上交，或经秘书长办公会批准后销毁。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3．附则</w:t>
      </w:r>
    </w:p>
    <w:p>
      <w:pPr>
        <w:spacing w:line="360" w:lineRule="auto"/>
        <w:ind w:firstLine="480" w:firstLineChars="200"/>
        <w:rPr>
          <w:sz w:val="24"/>
          <w:szCs w:val="24"/>
        </w:rPr>
      </w:pPr>
      <w:r>
        <w:rPr>
          <w:rFonts w:hint="eastAsia"/>
          <w:sz w:val="24"/>
          <w:szCs w:val="24"/>
        </w:rPr>
        <w:t>本制度由北京</w:t>
      </w:r>
      <w:r>
        <w:rPr>
          <w:rFonts w:hint="eastAsia"/>
          <w:sz w:val="24"/>
          <w:szCs w:val="24"/>
          <w:lang w:eastAsia="zh-CN"/>
        </w:rPr>
        <w:t>天地文化发展</w:t>
      </w:r>
      <w:r>
        <w:rPr>
          <w:rFonts w:hint="eastAsia"/>
          <w:sz w:val="24"/>
          <w:szCs w:val="24"/>
        </w:rPr>
        <w:t>基金会负责解释。</w:t>
      </w:r>
    </w:p>
    <w:p>
      <w:pPr>
        <w:spacing w:before="156" w:beforeLines="50" w:after="156" w:afterLines="50" w:line="360" w:lineRule="auto"/>
        <w:jc w:val="center"/>
        <w:outlineLvl w:val="1"/>
        <w:rPr>
          <w:rFonts w:hint="eastAsia" w:ascii="黑体" w:hAnsi="黑体" w:eastAsia="黑体"/>
          <w:b/>
          <w:sz w:val="32"/>
          <w:szCs w:val="32"/>
        </w:rPr>
      </w:pPr>
      <w:bookmarkStart w:id="10" w:name="_Toc403829179"/>
    </w:p>
    <w:p>
      <w:pPr>
        <w:spacing w:before="156" w:beforeLines="50" w:after="156" w:afterLines="50" w:line="360" w:lineRule="auto"/>
        <w:jc w:val="center"/>
        <w:outlineLvl w:val="1"/>
        <w:rPr>
          <w:rFonts w:hint="eastAsia" w:ascii="黑体" w:hAnsi="黑体" w:eastAsia="黑体"/>
          <w:b/>
          <w:sz w:val="32"/>
          <w:szCs w:val="32"/>
        </w:rPr>
      </w:pPr>
    </w:p>
    <w:p>
      <w:pPr>
        <w:spacing w:before="156" w:beforeLines="50" w:after="156" w:afterLines="50" w:line="360" w:lineRule="auto"/>
        <w:jc w:val="center"/>
        <w:outlineLvl w:val="1"/>
        <w:rPr>
          <w:rFonts w:hint="eastAsia" w:ascii="黑体" w:hAnsi="黑体" w:eastAsia="黑体"/>
          <w:b/>
          <w:sz w:val="32"/>
          <w:szCs w:val="32"/>
        </w:rPr>
      </w:pPr>
    </w:p>
    <w:p>
      <w:pPr>
        <w:spacing w:before="156" w:beforeLines="50" w:after="156" w:afterLines="50" w:line="360" w:lineRule="auto"/>
        <w:jc w:val="center"/>
        <w:outlineLvl w:val="1"/>
        <w:rPr>
          <w:rFonts w:ascii="黑体" w:hAnsi="黑体" w:eastAsia="黑体"/>
          <w:b/>
          <w:sz w:val="32"/>
          <w:szCs w:val="32"/>
        </w:rPr>
      </w:pPr>
      <w:bookmarkStart w:id="11" w:name="_Toc23804"/>
      <w:r>
        <w:rPr>
          <w:rFonts w:hint="eastAsia" w:ascii="黑体" w:hAnsi="黑体" w:eastAsia="黑体"/>
          <w:b/>
          <w:sz w:val="32"/>
          <w:szCs w:val="32"/>
        </w:rPr>
        <w:t xml:space="preserve">六 </w:t>
      </w:r>
      <w:r>
        <w:rPr>
          <w:rFonts w:hint="eastAsia" w:ascii="黑体" w:hAnsi="黑体" w:eastAsia="黑体"/>
          <w:b/>
          <w:sz w:val="32"/>
          <w:szCs w:val="32"/>
          <w:lang w:eastAsia="zh-CN"/>
        </w:rPr>
        <w:t>北京天地文化发展</w:t>
      </w:r>
      <w:r>
        <w:rPr>
          <w:rFonts w:hint="eastAsia" w:ascii="黑体" w:hAnsi="黑体" w:eastAsia="黑体"/>
          <w:b/>
          <w:sz w:val="32"/>
          <w:szCs w:val="32"/>
        </w:rPr>
        <w:t>基金会采购制度</w:t>
      </w:r>
      <w:bookmarkEnd w:id="10"/>
      <w:bookmarkEnd w:id="11"/>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1.1为提高</w:t>
      </w:r>
      <w:r>
        <w:rPr>
          <w:rFonts w:hint="eastAsia"/>
          <w:sz w:val="24"/>
          <w:szCs w:val="24"/>
          <w:lang w:eastAsia="zh-CN"/>
        </w:rPr>
        <w:t>北京天地文化发展</w:t>
      </w:r>
      <w:r>
        <w:rPr>
          <w:rFonts w:hint="eastAsia"/>
          <w:sz w:val="24"/>
          <w:szCs w:val="24"/>
        </w:rPr>
        <w:t>基金会（以下简称“本基金会”）物资采购的合理、规范及协调有效性，特制定本制度。</w:t>
      </w:r>
    </w:p>
    <w:p>
      <w:pPr>
        <w:spacing w:line="360" w:lineRule="auto"/>
        <w:ind w:firstLine="480" w:firstLineChars="200"/>
        <w:rPr>
          <w:sz w:val="24"/>
          <w:szCs w:val="24"/>
        </w:rPr>
      </w:pPr>
      <w:r>
        <w:rPr>
          <w:rFonts w:hint="eastAsia"/>
          <w:sz w:val="24"/>
          <w:szCs w:val="24"/>
        </w:rPr>
        <w:t>1.2本制度适用于</w:t>
      </w:r>
      <w:r>
        <w:rPr>
          <w:rFonts w:hint="eastAsia"/>
          <w:sz w:val="24"/>
          <w:szCs w:val="24"/>
          <w:lang w:eastAsia="zh-CN"/>
        </w:rPr>
        <w:t>北京天地文化发展</w:t>
      </w:r>
      <w:r>
        <w:rPr>
          <w:rFonts w:hint="eastAsia"/>
          <w:sz w:val="24"/>
          <w:szCs w:val="24"/>
        </w:rPr>
        <w:t>基金会。</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 采购管理办法</w:t>
      </w:r>
    </w:p>
    <w:p>
      <w:pPr>
        <w:spacing w:line="360" w:lineRule="auto"/>
        <w:ind w:firstLine="480" w:firstLineChars="200"/>
        <w:rPr>
          <w:sz w:val="24"/>
          <w:szCs w:val="24"/>
        </w:rPr>
      </w:pPr>
      <w:r>
        <w:rPr>
          <w:rFonts w:hint="eastAsia"/>
          <w:sz w:val="24"/>
          <w:szCs w:val="24"/>
        </w:rPr>
        <w:t>2.1原则</w:t>
      </w:r>
    </w:p>
    <w:p>
      <w:pPr>
        <w:spacing w:line="360" w:lineRule="auto"/>
        <w:ind w:firstLine="480" w:firstLineChars="200"/>
        <w:rPr>
          <w:sz w:val="24"/>
          <w:szCs w:val="24"/>
        </w:rPr>
      </w:pPr>
      <w:r>
        <w:rPr>
          <w:rFonts w:hint="eastAsia"/>
          <w:sz w:val="24"/>
          <w:szCs w:val="24"/>
        </w:rPr>
        <w:t>2.1.1 采购应以价格合理、确保质量与交货期的基础上采购本基金会所需的各类物品</w:t>
      </w:r>
      <w:r>
        <w:rPr>
          <w:rFonts w:hint="eastAsia"/>
          <w:sz w:val="24"/>
          <w:szCs w:val="24"/>
          <w:lang w:eastAsia="zh-CN"/>
        </w:rPr>
        <w:t>，</w:t>
      </w:r>
      <w:r>
        <w:rPr>
          <w:rFonts w:hint="eastAsia"/>
          <w:sz w:val="24"/>
          <w:szCs w:val="24"/>
        </w:rPr>
        <w:t>与供应商建立稳固、良好的合作关系</w:t>
      </w:r>
      <w:r>
        <w:rPr>
          <w:rFonts w:hint="eastAsia"/>
          <w:sz w:val="24"/>
          <w:szCs w:val="24"/>
          <w:lang w:eastAsia="zh-CN"/>
        </w:rPr>
        <w:t>，</w:t>
      </w:r>
      <w:r>
        <w:rPr>
          <w:rFonts w:hint="eastAsia"/>
          <w:sz w:val="24"/>
          <w:szCs w:val="24"/>
        </w:rPr>
        <w:t>以期降低采购成本并有效满足各部门的需求。</w:t>
      </w:r>
    </w:p>
    <w:p>
      <w:pPr>
        <w:spacing w:line="360" w:lineRule="auto"/>
        <w:ind w:firstLine="480" w:firstLineChars="200"/>
        <w:rPr>
          <w:sz w:val="24"/>
          <w:szCs w:val="24"/>
        </w:rPr>
      </w:pPr>
      <w:r>
        <w:rPr>
          <w:rFonts w:hint="eastAsia"/>
          <w:sz w:val="24"/>
          <w:szCs w:val="24"/>
        </w:rPr>
        <w:t>2.2目标</w:t>
      </w:r>
    </w:p>
    <w:p>
      <w:pPr>
        <w:spacing w:line="360" w:lineRule="auto"/>
        <w:ind w:firstLine="480" w:firstLineChars="200"/>
        <w:rPr>
          <w:sz w:val="24"/>
          <w:szCs w:val="24"/>
        </w:rPr>
      </w:pPr>
      <w:r>
        <w:rPr>
          <w:rFonts w:hint="eastAsia"/>
          <w:sz w:val="24"/>
          <w:szCs w:val="24"/>
        </w:rPr>
        <w:t>2.2.1 确定所需物品的品质、数量及交货期；</w:t>
      </w:r>
    </w:p>
    <w:p>
      <w:pPr>
        <w:spacing w:line="360" w:lineRule="auto"/>
        <w:ind w:firstLine="480" w:firstLineChars="200"/>
        <w:rPr>
          <w:sz w:val="24"/>
          <w:szCs w:val="24"/>
        </w:rPr>
      </w:pPr>
      <w:r>
        <w:rPr>
          <w:rFonts w:hint="eastAsia"/>
          <w:sz w:val="24"/>
          <w:szCs w:val="24"/>
        </w:rPr>
        <w:t>2.2.2 取得最合理的采购价格；</w:t>
      </w:r>
    </w:p>
    <w:p>
      <w:pPr>
        <w:spacing w:line="360" w:lineRule="auto"/>
        <w:ind w:firstLine="480" w:firstLineChars="200"/>
        <w:rPr>
          <w:sz w:val="24"/>
          <w:szCs w:val="24"/>
        </w:rPr>
      </w:pPr>
      <w:r>
        <w:rPr>
          <w:rFonts w:hint="eastAsia"/>
          <w:sz w:val="24"/>
          <w:szCs w:val="24"/>
        </w:rPr>
        <w:t>2.3 采购物品范围</w:t>
      </w:r>
    </w:p>
    <w:p>
      <w:pPr>
        <w:spacing w:line="360" w:lineRule="auto"/>
        <w:ind w:firstLine="480" w:firstLineChars="200"/>
        <w:rPr>
          <w:sz w:val="24"/>
          <w:szCs w:val="24"/>
        </w:rPr>
      </w:pPr>
      <w:r>
        <w:rPr>
          <w:rFonts w:hint="eastAsia"/>
          <w:sz w:val="24"/>
          <w:szCs w:val="24"/>
        </w:rPr>
        <w:t>2.3.1 综合管理部采购范围为：办公用品、办公电器、消耗品、电脑及相关配件、外包服务、机构相关部门指定购买的物品或外包服务；</w:t>
      </w:r>
    </w:p>
    <w:p>
      <w:pPr>
        <w:spacing w:line="360" w:lineRule="auto"/>
        <w:ind w:firstLine="480" w:firstLineChars="200"/>
        <w:rPr>
          <w:sz w:val="24"/>
          <w:szCs w:val="24"/>
        </w:rPr>
      </w:pPr>
      <w:r>
        <w:rPr>
          <w:rFonts w:hint="eastAsia"/>
          <w:sz w:val="24"/>
          <w:szCs w:val="24"/>
        </w:rPr>
        <w:t>2.3.2 综合管理部负责联络所采购物品的售后服务。</w:t>
      </w:r>
    </w:p>
    <w:p>
      <w:pPr>
        <w:spacing w:line="360" w:lineRule="auto"/>
        <w:ind w:firstLine="480" w:firstLineChars="200"/>
        <w:rPr>
          <w:sz w:val="24"/>
          <w:szCs w:val="24"/>
        </w:rPr>
      </w:pPr>
      <w:r>
        <w:rPr>
          <w:rFonts w:hint="eastAsia"/>
          <w:sz w:val="24"/>
          <w:szCs w:val="24"/>
        </w:rPr>
        <w:t>2.4 采购要求</w:t>
      </w:r>
    </w:p>
    <w:p>
      <w:pPr>
        <w:spacing w:line="360" w:lineRule="auto"/>
        <w:ind w:firstLine="480" w:firstLineChars="200"/>
        <w:rPr>
          <w:sz w:val="24"/>
          <w:szCs w:val="24"/>
        </w:rPr>
      </w:pPr>
      <w:r>
        <w:rPr>
          <w:rFonts w:hint="eastAsia"/>
          <w:sz w:val="24"/>
          <w:szCs w:val="24"/>
        </w:rPr>
        <w:t>2.4.1严格甄选采购供应商</w:t>
      </w:r>
      <w:r>
        <w:rPr>
          <w:rFonts w:hint="eastAsia"/>
          <w:sz w:val="24"/>
          <w:szCs w:val="24"/>
          <w:lang w:eastAsia="zh-CN"/>
        </w:rPr>
        <w:t>，</w:t>
      </w:r>
      <w:r>
        <w:rPr>
          <w:rFonts w:hint="eastAsia"/>
          <w:sz w:val="24"/>
          <w:szCs w:val="24"/>
        </w:rPr>
        <w:t>除定期实地考察、评估外</w:t>
      </w:r>
      <w:r>
        <w:rPr>
          <w:rFonts w:hint="eastAsia"/>
          <w:sz w:val="24"/>
          <w:szCs w:val="24"/>
          <w:lang w:eastAsia="zh-CN"/>
        </w:rPr>
        <w:t>，</w:t>
      </w:r>
      <w:r>
        <w:rPr>
          <w:rFonts w:hint="eastAsia"/>
          <w:sz w:val="24"/>
          <w:szCs w:val="24"/>
        </w:rPr>
        <w:t>还需考核厂商价格波动、报价时限、结算方式以及双方交易额度累积状况等</w:t>
      </w:r>
      <w:r>
        <w:rPr>
          <w:rFonts w:hint="eastAsia"/>
          <w:sz w:val="24"/>
          <w:szCs w:val="24"/>
          <w:lang w:eastAsia="zh-CN"/>
        </w:rPr>
        <w:t>，</w:t>
      </w:r>
      <w:r>
        <w:rPr>
          <w:rFonts w:hint="eastAsia"/>
          <w:sz w:val="24"/>
          <w:szCs w:val="24"/>
        </w:rPr>
        <w:t>包括供应商的技术性、专业性、以及稳定性等；</w:t>
      </w:r>
    </w:p>
    <w:p>
      <w:pPr>
        <w:spacing w:line="360" w:lineRule="auto"/>
        <w:ind w:firstLine="480" w:firstLineChars="200"/>
        <w:rPr>
          <w:sz w:val="24"/>
          <w:szCs w:val="24"/>
        </w:rPr>
      </w:pPr>
      <w:r>
        <w:rPr>
          <w:rFonts w:hint="eastAsia"/>
          <w:sz w:val="24"/>
          <w:szCs w:val="24"/>
        </w:rPr>
        <w:t>2.4.2 以合理价格购入</w:t>
      </w:r>
      <w:r>
        <w:rPr>
          <w:rFonts w:hint="eastAsia"/>
          <w:sz w:val="24"/>
          <w:szCs w:val="24"/>
          <w:lang w:eastAsia="zh-CN"/>
        </w:rPr>
        <w:t>，</w:t>
      </w:r>
      <w:r>
        <w:rPr>
          <w:rFonts w:hint="eastAsia"/>
          <w:sz w:val="24"/>
          <w:szCs w:val="24"/>
        </w:rPr>
        <w:t>并确保经济、耐用、美观；</w:t>
      </w:r>
    </w:p>
    <w:p>
      <w:pPr>
        <w:spacing w:line="360" w:lineRule="auto"/>
        <w:ind w:firstLine="480" w:firstLineChars="200"/>
        <w:rPr>
          <w:sz w:val="24"/>
          <w:szCs w:val="24"/>
        </w:rPr>
      </w:pPr>
      <w:r>
        <w:rPr>
          <w:rFonts w:hint="eastAsia"/>
          <w:sz w:val="24"/>
          <w:szCs w:val="24"/>
        </w:rPr>
        <w:t>2.4.3 以安全库存为仓储基础</w:t>
      </w:r>
      <w:r>
        <w:rPr>
          <w:rFonts w:hint="eastAsia"/>
          <w:sz w:val="24"/>
          <w:szCs w:val="24"/>
          <w:lang w:eastAsia="zh-CN"/>
        </w:rPr>
        <w:t>，</w:t>
      </w:r>
      <w:r>
        <w:rPr>
          <w:rFonts w:hint="eastAsia"/>
          <w:sz w:val="24"/>
          <w:szCs w:val="24"/>
        </w:rPr>
        <w:t>及时适量地满足使用部门的要求。</w:t>
      </w:r>
    </w:p>
    <w:p>
      <w:pPr>
        <w:spacing w:line="360" w:lineRule="auto"/>
        <w:ind w:firstLine="480" w:firstLineChars="200"/>
        <w:rPr>
          <w:sz w:val="24"/>
          <w:szCs w:val="24"/>
        </w:rPr>
      </w:pPr>
      <w:r>
        <w:rPr>
          <w:rFonts w:hint="eastAsia"/>
          <w:sz w:val="24"/>
          <w:szCs w:val="24"/>
        </w:rPr>
        <w:t>2.5申购流程</w:t>
      </w:r>
    </w:p>
    <w:p>
      <w:pPr>
        <w:spacing w:line="360" w:lineRule="auto"/>
        <w:ind w:firstLine="480" w:firstLineChars="200"/>
        <w:rPr>
          <w:sz w:val="24"/>
          <w:szCs w:val="24"/>
        </w:rPr>
      </w:pPr>
      <w:r>
        <w:rPr>
          <w:rFonts w:hint="eastAsia"/>
          <w:sz w:val="24"/>
          <w:szCs w:val="24"/>
        </w:rPr>
        <w:t>2.5.1 申购部门向综合管理部递交经部门负责人审批的《采购申请表》，综合管理部根据其需求采购；</w:t>
      </w:r>
    </w:p>
    <w:p>
      <w:pPr>
        <w:spacing w:line="360" w:lineRule="auto"/>
        <w:ind w:firstLine="480" w:firstLineChars="200"/>
        <w:rPr>
          <w:sz w:val="24"/>
          <w:szCs w:val="24"/>
        </w:rPr>
      </w:pPr>
      <w:r>
        <w:rPr>
          <w:rFonts w:hint="eastAsia"/>
          <w:sz w:val="24"/>
          <w:szCs w:val="24"/>
        </w:rPr>
        <w:t>2.5.2采购申请表的撤消即由原申购部门通知综合管理部停止采购</w:t>
      </w:r>
      <w:r>
        <w:rPr>
          <w:rFonts w:hint="eastAsia"/>
          <w:sz w:val="24"/>
          <w:szCs w:val="24"/>
          <w:lang w:eastAsia="zh-CN"/>
        </w:rPr>
        <w:t>，</w:t>
      </w:r>
      <w:r>
        <w:rPr>
          <w:rFonts w:hint="eastAsia"/>
          <w:sz w:val="24"/>
          <w:szCs w:val="24"/>
        </w:rPr>
        <w:t>由综合管理部在表单上注明取消原因。</w:t>
      </w:r>
    </w:p>
    <w:p>
      <w:pPr>
        <w:spacing w:line="360" w:lineRule="auto"/>
        <w:ind w:firstLine="480" w:firstLineChars="200"/>
        <w:rPr>
          <w:sz w:val="24"/>
          <w:szCs w:val="24"/>
        </w:rPr>
      </w:pPr>
      <w:r>
        <w:rPr>
          <w:rFonts w:hint="eastAsia"/>
          <w:sz w:val="24"/>
          <w:szCs w:val="24"/>
        </w:rPr>
        <w:t>2.6采购方式</w:t>
      </w:r>
    </w:p>
    <w:p>
      <w:pPr>
        <w:spacing w:line="360" w:lineRule="auto"/>
        <w:ind w:firstLine="480" w:firstLineChars="200"/>
        <w:rPr>
          <w:sz w:val="24"/>
          <w:szCs w:val="24"/>
        </w:rPr>
      </w:pPr>
      <w:r>
        <w:rPr>
          <w:rFonts w:hint="eastAsia"/>
          <w:sz w:val="24"/>
          <w:szCs w:val="24"/>
        </w:rPr>
        <w:t>2.6.1 零星选择性采购。凡技术性、专业性、特殊性的采购物品</w:t>
      </w:r>
      <w:r>
        <w:rPr>
          <w:rFonts w:hint="eastAsia"/>
          <w:sz w:val="24"/>
          <w:szCs w:val="24"/>
          <w:lang w:eastAsia="zh-CN"/>
        </w:rPr>
        <w:t>，</w:t>
      </w:r>
      <w:r>
        <w:rPr>
          <w:rFonts w:hint="eastAsia"/>
          <w:sz w:val="24"/>
          <w:szCs w:val="24"/>
        </w:rPr>
        <w:t>用量少且需临时选择的紧急性采购</w:t>
      </w:r>
      <w:r>
        <w:rPr>
          <w:rFonts w:hint="eastAsia"/>
          <w:sz w:val="24"/>
          <w:szCs w:val="24"/>
          <w:lang w:eastAsia="zh-CN"/>
        </w:rPr>
        <w:t>，</w:t>
      </w:r>
      <w:r>
        <w:rPr>
          <w:rFonts w:hint="eastAsia"/>
          <w:sz w:val="24"/>
          <w:szCs w:val="24"/>
        </w:rPr>
        <w:t>由申购部门提供物品供应渠道及性能检验，必要时可派员协同采购，综合管理部负责跟踪厂商交货及费用结算业务。</w:t>
      </w:r>
    </w:p>
    <w:p>
      <w:pPr>
        <w:spacing w:line="360" w:lineRule="auto"/>
        <w:ind w:firstLine="480" w:firstLineChars="200"/>
        <w:rPr>
          <w:sz w:val="24"/>
          <w:szCs w:val="24"/>
        </w:rPr>
      </w:pPr>
      <w:r>
        <w:rPr>
          <w:rFonts w:hint="eastAsia"/>
          <w:sz w:val="24"/>
          <w:szCs w:val="24"/>
        </w:rPr>
        <w:t>2.6.2 集中计划采购。凡规格、性能具常规性，数量需求稳定的办公文具和消耗品等采购物品，采用集中计划采购</w:t>
      </w:r>
      <w:r>
        <w:rPr>
          <w:rFonts w:hint="eastAsia"/>
          <w:sz w:val="24"/>
          <w:szCs w:val="24"/>
          <w:lang w:eastAsia="zh-CN"/>
        </w:rPr>
        <w:t>，</w:t>
      </w:r>
      <w:r>
        <w:rPr>
          <w:rFonts w:hint="eastAsia"/>
          <w:sz w:val="24"/>
          <w:szCs w:val="24"/>
        </w:rPr>
        <w:t>以利于稳定价格、安全库存。</w:t>
      </w:r>
    </w:p>
    <w:p>
      <w:pPr>
        <w:spacing w:line="360" w:lineRule="auto"/>
        <w:ind w:firstLine="480" w:firstLineChars="200"/>
        <w:rPr>
          <w:sz w:val="24"/>
          <w:szCs w:val="24"/>
        </w:rPr>
      </w:pPr>
      <w:r>
        <w:rPr>
          <w:rFonts w:hint="eastAsia"/>
          <w:sz w:val="24"/>
          <w:szCs w:val="24"/>
        </w:rPr>
        <w:t>2.7 询价、报价</w:t>
      </w:r>
    </w:p>
    <w:p>
      <w:pPr>
        <w:spacing w:line="360" w:lineRule="auto"/>
        <w:ind w:firstLine="480" w:firstLineChars="200"/>
        <w:rPr>
          <w:sz w:val="24"/>
          <w:szCs w:val="24"/>
        </w:rPr>
      </w:pPr>
      <w:r>
        <w:rPr>
          <w:rFonts w:hint="eastAsia"/>
          <w:sz w:val="24"/>
          <w:szCs w:val="24"/>
        </w:rPr>
        <w:t>2.7.1 综合管理部受理申购报告后</w:t>
      </w:r>
      <w:r>
        <w:rPr>
          <w:rFonts w:hint="eastAsia"/>
          <w:sz w:val="24"/>
          <w:szCs w:val="24"/>
          <w:lang w:eastAsia="zh-CN"/>
        </w:rPr>
        <w:t>，</w:t>
      </w:r>
      <w:r>
        <w:rPr>
          <w:rFonts w:hint="eastAsia"/>
          <w:sz w:val="24"/>
          <w:szCs w:val="24"/>
        </w:rPr>
        <w:t>确认规格/型号并依据申购案件之缓急和交货期</w:t>
      </w:r>
      <w:r>
        <w:rPr>
          <w:rFonts w:hint="eastAsia"/>
          <w:sz w:val="24"/>
          <w:szCs w:val="24"/>
          <w:lang w:eastAsia="zh-CN"/>
        </w:rPr>
        <w:t>，</w:t>
      </w:r>
      <w:r>
        <w:rPr>
          <w:rFonts w:hint="eastAsia"/>
          <w:sz w:val="24"/>
          <w:szCs w:val="24"/>
        </w:rPr>
        <w:t>如属经常性集中购入的消耗品则可选择合格供应商直接购入，价格以审核确认的《采购消耗品价格LIST》为准。如属新类别物品购入的，则需提供三家（含）以上供应商报价资料（特殊情况不能提供三家以上报价的，需进行说明并经部门负责人同意）；</w:t>
      </w:r>
    </w:p>
    <w:p>
      <w:pPr>
        <w:spacing w:line="360" w:lineRule="auto"/>
        <w:ind w:firstLine="480" w:firstLineChars="200"/>
        <w:rPr>
          <w:sz w:val="24"/>
          <w:szCs w:val="24"/>
        </w:rPr>
      </w:pPr>
      <w:r>
        <w:rPr>
          <w:rFonts w:hint="eastAsia"/>
          <w:sz w:val="24"/>
          <w:szCs w:val="24"/>
        </w:rPr>
        <w:t>2.7.2 申购物品之性能、规格涉及专业适用性时，须附上相关资料与申购部门共同协商确认；</w:t>
      </w:r>
    </w:p>
    <w:p>
      <w:pPr>
        <w:spacing w:line="360" w:lineRule="auto"/>
        <w:ind w:firstLine="480" w:firstLineChars="200"/>
        <w:rPr>
          <w:sz w:val="24"/>
          <w:szCs w:val="24"/>
        </w:rPr>
      </w:pPr>
      <w:r>
        <w:rPr>
          <w:rFonts w:hint="eastAsia"/>
          <w:sz w:val="24"/>
          <w:szCs w:val="24"/>
        </w:rPr>
        <w:t>2.7.3报价单必须由厂商负责人员签字或盖章</w:t>
      </w:r>
      <w:r>
        <w:rPr>
          <w:rFonts w:hint="eastAsia"/>
          <w:sz w:val="24"/>
          <w:szCs w:val="24"/>
          <w:lang w:eastAsia="zh-CN"/>
        </w:rPr>
        <w:t>，</w:t>
      </w:r>
      <w:r>
        <w:rPr>
          <w:rFonts w:hint="eastAsia"/>
          <w:sz w:val="24"/>
          <w:szCs w:val="24"/>
        </w:rPr>
        <w:t>不得涂改</w:t>
      </w:r>
      <w:r>
        <w:rPr>
          <w:rFonts w:hint="eastAsia"/>
          <w:sz w:val="24"/>
          <w:szCs w:val="24"/>
          <w:lang w:eastAsia="zh-CN"/>
        </w:rPr>
        <w:t>，</w:t>
      </w:r>
      <w:r>
        <w:rPr>
          <w:rFonts w:hint="eastAsia"/>
          <w:sz w:val="24"/>
          <w:szCs w:val="24"/>
        </w:rPr>
        <w:t>并且与原询价厂商保持一致性；</w:t>
      </w:r>
    </w:p>
    <w:p>
      <w:pPr>
        <w:spacing w:line="360" w:lineRule="auto"/>
        <w:ind w:firstLine="480" w:firstLineChars="200"/>
        <w:rPr>
          <w:sz w:val="24"/>
          <w:szCs w:val="24"/>
        </w:rPr>
      </w:pPr>
      <w:r>
        <w:rPr>
          <w:rFonts w:hint="eastAsia"/>
          <w:sz w:val="24"/>
          <w:szCs w:val="24"/>
        </w:rPr>
        <w:t>2.7.4“报价单”有效期以报价单为准，如报价单未规定且经确认价格没有变动，有效期为3 个月。超过有效期需重新报价。对于价格受市场波动影响大的产品，以市场价为准。</w:t>
      </w:r>
    </w:p>
    <w:p>
      <w:pPr>
        <w:spacing w:line="360" w:lineRule="auto"/>
        <w:ind w:firstLine="480" w:firstLineChars="200"/>
        <w:rPr>
          <w:sz w:val="24"/>
          <w:szCs w:val="24"/>
        </w:rPr>
      </w:pPr>
      <w:r>
        <w:rPr>
          <w:rFonts w:hint="eastAsia"/>
          <w:sz w:val="24"/>
          <w:szCs w:val="24"/>
        </w:rPr>
        <w:t>2.8比价议价</w:t>
      </w:r>
    </w:p>
    <w:p>
      <w:pPr>
        <w:spacing w:line="360" w:lineRule="auto"/>
        <w:ind w:firstLine="480" w:firstLineChars="200"/>
        <w:rPr>
          <w:sz w:val="24"/>
          <w:szCs w:val="24"/>
        </w:rPr>
      </w:pPr>
      <w:r>
        <w:rPr>
          <w:rFonts w:hint="eastAsia"/>
          <w:sz w:val="24"/>
          <w:szCs w:val="24"/>
        </w:rPr>
        <w:t>2.8.1采购人员完成询价、报价后</w:t>
      </w:r>
      <w:r>
        <w:rPr>
          <w:rFonts w:hint="eastAsia"/>
          <w:sz w:val="24"/>
          <w:szCs w:val="24"/>
          <w:lang w:eastAsia="zh-CN"/>
        </w:rPr>
        <w:t>，</w:t>
      </w:r>
      <w:r>
        <w:rPr>
          <w:rFonts w:hint="eastAsia"/>
          <w:sz w:val="24"/>
          <w:szCs w:val="24"/>
        </w:rPr>
        <w:t>应立即综合了解、比较各厂商报价状况和市场行情</w:t>
      </w:r>
      <w:r>
        <w:rPr>
          <w:rFonts w:hint="eastAsia"/>
          <w:sz w:val="24"/>
          <w:szCs w:val="24"/>
          <w:lang w:eastAsia="zh-CN"/>
        </w:rPr>
        <w:t>，</w:t>
      </w:r>
      <w:r>
        <w:rPr>
          <w:rFonts w:hint="eastAsia"/>
          <w:sz w:val="24"/>
          <w:szCs w:val="24"/>
        </w:rPr>
        <w:t>经综合分析后拟定供应商；</w:t>
      </w:r>
    </w:p>
    <w:p>
      <w:pPr>
        <w:spacing w:line="360" w:lineRule="auto"/>
        <w:ind w:firstLine="480" w:firstLineChars="200"/>
        <w:rPr>
          <w:sz w:val="24"/>
          <w:szCs w:val="24"/>
        </w:rPr>
      </w:pPr>
      <w:r>
        <w:rPr>
          <w:rFonts w:hint="eastAsia"/>
          <w:sz w:val="24"/>
          <w:szCs w:val="24"/>
        </w:rPr>
        <w:t>2.8.2议价时除需注意品质能否符合需要</w:t>
      </w:r>
      <w:r>
        <w:rPr>
          <w:rFonts w:hint="eastAsia"/>
          <w:sz w:val="24"/>
          <w:szCs w:val="24"/>
          <w:lang w:eastAsia="zh-CN"/>
        </w:rPr>
        <w:t>，</w:t>
      </w:r>
      <w:r>
        <w:rPr>
          <w:rFonts w:hint="eastAsia"/>
          <w:sz w:val="24"/>
          <w:szCs w:val="24"/>
        </w:rPr>
        <w:t>价格是否合理外</w:t>
      </w:r>
      <w:r>
        <w:rPr>
          <w:rFonts w:hint="eastAsia"/>
          <w:sz w:val="24"/>
          <w:szCs w:val="24"/>
          <w:lang w:eastAsia="zh-CN"/>
        </w:rPr>
        <w:t>，</w:t>
      </w:r>
      <w:r>
        <w:rPr>
          <w:rFonts w:hint="eastAsia"/>
          <w:sz w:val="24"/>
          <w:szCs w:val="24"/>
        </w:rPr>
        <w:t>还要考虑交期是否符合需要</w:t>
      </w:r>
      <w:r>
        <w:rPr>
          <w:rFonts w:hint="eastAsia"/>
          <w:sz w:val="24"/>
          <w:szCs w:val="24"/>
          <w:lang w:eastAsia="zh-CN"/>
        </w:rPr>
        <w:t>，</w:t>
      </w:r>
      <w:r>
        <w:rPr>
          <w:rFonts w:hint="eastAsia"/>
          <w:sz w:val="24"/>
          <w:szCs w:val="24"/>
        </w:rPr>
        <w:t>后期服务保养以及保险业务等问题。</w:t>
      </w:r>
    </w:p>
    <w:p>
      <w:pPr>
        <w:spacing w:line="360" w:lineRule="auto"/>
        <w:ind w:firstLine="480" w:firstLineChars="200"/>
        <w:rPr>
          <w:sz w:val="24"/>
          <w:szCs w:val="24"/>
        </w:rPr>
      </w:pPr>
      <w:r>
        <w:rPr>
          <w:rFonts w:hint="eastAsia"/>
          <w:sz w:val="24"/>
          <w:szCs w:val="24"/>
        </w:rPr>
        <w:t>2.9订单发出</w:t>
      </w:r>
    </w:p>
    <w:p>
      <w:pPr>
        <w:spacing w:line="360" w:lineRule="auto"/>
        <w:ind w:firstLine="480" w:firstLineChars="200"/>
        <w:rPr>
          <w:sz w:val="24"/>
          <w:szCs w:val="24"/>
        </w:rPr>
      </w:pPr>
      <w:r>
        <w:rPr>
          <w:rFonts w:hint="eastAsia"/>
          <w:sz w:val="24"/>
          <w:szCs w:val="24"/>
        </w:rPr>
        <w:t>2.9.1综合管理部采购人员收到经请购部门审批的《采购申请表》后</w:t>
      </w:r>
      <w:r>
        <w:rPr>
          <w:rFonts w:hint="eastAsia"/>
          <w:sz w:val="24"/>
          <w:szCs w:val="24"/>
          <w:lang w:eastAsia="zh-CN"/>
        </w:rPr>
        <w:t>，</w:t>
      </w:r>
      <w:r>
        <w:rPr>
          <w:rFonts w:hint="eastAsia"/>
          <w:sz w:val="24"/>
          <w:szCs w:val="24"/>
        </w:rPr>
        <w:t>核准价格、供应商</w:t>
      </w:r>
      <w:r>
        <w:rPr>
          <w:rFonts w:hint="eastAsia"/>
          <w:sz w:val="24"/>
          <w:szCs w:val="24"/>
          <w:lang w:eastAsia="zh-CN"/>
        </w:rPr>
        <w:t>，</w:t>
      </w:r>
      <w:r>
        <w:rPr>
          <w:rFonts w:hint="eastAsia"/>
          <w:sz w:val="24"/>
          <w:szCs w:val="24"/>
        </w:rPr>
        <w:t>方可进行订购</w:t>
      </w:r>
      <w:r>
        <w:rPr>
          <w:rFonts w:hint="eastAsia"/>
          <w:sz w:val="24"/>
          <w:szCs w:val="24"/>
          <w:lang w:eastAsia="zh-CN"/>
        </w:rPr>
        <w:t>，</w:t>
      </w:r>
      <w:r>
        <w:rPr>
          <w:rFonts w:hint="eastAsia"/>
          <w:sz w:val="24"/>
          <w:szCs w:val="24"/>
        </w:rPr>
        <w:t>并将订单及时发给供应商；</w:t>
      </w:r>
    </w:p>
    <w:p>
      <w:pPr>
        <w:spacing w:line="360" w:lineRule="auto"/>
        <w:ind w:firstLine="480" w:firstLineChars="200"/>
        <w:rPr>
          <w:sz w:val="24"/>
          <w:szCs w:val="24"/>
        </w:rPr>
      </w:pPr>
      <w:r>
        <w:rPr>
          <w:rFonts w:hint="eastAsia"/>
          <w:sz w:val="24"/>
          <w:szCs w:val="24"/>
        </w:rPr>
        <w:t>2.9.2订单必须由综合管理部发送</w:t>
      </w:r>
      <w:r>
        <w:rPr>
          <w:rFonts w:hint="eastAsia"/>
          <w:sz w:val="24"/>
          <w:szCs w:val="24"/>
          <w:lang w:eastAsia="zh-CN"/>
        </w:rPr>
        <w:t>，</w:t>
      </w:r>
      <w:r>
        <w:rPr>
          <w:rFonts w:hint="eastAsia"/>
          <w:sz w:val="24"/>
          <w:szCs w:val="24"/>
        </w:rPr>
        <w:t>对需紧急购入的物品可以先电话通知</w:t>
      </w:r>
      <w:r>
        <w:rPr>
          <w:rFonts w:hint="eastAsia"/>
          <w:sz w:val="24"/>
          <w:szCs w:val="24"/>
          <w:lang w:eastAsia="zh-CN"/>
        </w:rPr>
        <w:t>，</w:t>
      </w:r>
      <w:r>
        <w:rPr>
          <w:rFonts w:hint="eastAsia"/>
          <w:sz w:val="24"/>
          <w:szCs w:val="24"/>
        </w:rPr>
        <w:t>综合管理部需事后补填《采购申请表》并注明原因。</w:t>
      </w:r>
    </w:p>
    <w:p>
      <w:pPr>
        <w:spacing w:line="360" w:lineRule="auto"/>
        <w:ind w:firstLine="480" w:firstLineChars="200"/>
        <w:rPr>
          <w:sz w:val="24"/>
          <w:szCs w:val="24"/>
        </w:rPr>
      </w:pPr>
      <w:r>
        <w:rPr>
          <w:rFonts w:hint="eastAsia"/>
          <w:sz w:val="24"/>
          <w:szCs w:val="24"/>
        </w:rPr>
        <w:t>2.10 验收</w:t>
      </w:r>
    </w:p>
    <w:p>
      <w:pPr>
        <w:spacing w:line="360" w:lineRule="auto"/>
        <w:ind w:firstLine="480" w:firstLineChars="200"/>
        <w:rPr>
          <w:sz w:val="24"/>
          <w:szCs w:val="24"/>
        </w:rPr>
      </w:pPr>
      <w:r>
        <w:rPr>
          <w:rFonts w:hint="eastAsia"/>
          <w:sz w:val="24"/>
          <w:szCs w:val="24"/>
        </w:rPr>
        <w:t>2.10.1 由申购部门指定的收货人（或由其通知相关人员）进行验收</w:t>
      </w:r>
      <w:r>
        <w:rPr>
          <w:rFonts w:hint="eastAsia"/>
          <w:sz w:val="24"/>
          <w:szCs w:val="24"/>
          <w:lang w:eastAsia="zh-CN"/>
        </w:rPr>
        <w:t>，</w:t>
      </w:r>
      <w:r>
        <w:rPr>
          <w:rFonts w:hint="eastAsia"/>
          <w:sz w:val="24"/>
          <w:szCs w:val="24"/>
        </w:rPr>
        <w:t>验收合格后验收人在送货单签收栏内签收；如有不合格物品则联络综合管理部、供应商一起协商处理事宜；</w:t>
      </w:r>
    </w:p>
    <w:p>
      <w:pPr>
        <w:spacing w:line="360" w:lineRule="auto"/>
        <w:ind w:firstLine="480" w:firstLineChars="200"/>
        <w:rPr>
          <w:sz w:val="24"/>
          <w:szCs w:val="24"/>
        </w:rPr>
      </w:pPr>
      <w:r>
        <w:rPr>
          <w:rFonts w:hint="eastAsia"/>
          <w:sz w:val="24"/>
          <w:szCs w:val="24"/>
        </w:rPr>
        <w:t>2.10.2凡在使用过程中发现物品质量、数量等不符合订单要求，由申购部门通知综合管理部，由综合管理部联络供应商协商处理。</w:t>
      </w:r>
    </w:p>
    <w:p>
      <w:pPr>
        <w:spacing w:line="360" w:lineRule="auto"/>
        <w:ind w:firstLine="480" w:firstLineChars="200"/>
        <w:rPr>
          <w:sz w:val="24"/>
          <w:szCs w:val="24"/>
        </w:rPr>
      </w:pPr>
      <w:r>
        <w:rPr>
          <w:rFonts w:hint="eastAsia"/>
          <w:sz w:val="24"/>
          <w:szCs w:val="24"/>
        </w:rPr>
        <w:t>2.11结算付款</w:t>
      </w:r>
    </w:p>
    <w:p>
      <w:pPr>
        <w:spacing w:line="360" w:lineRule="auto"/>
        <w:ind w:firstLine="480" w:firstLineChars="200"/>
        <w:rPr>
          <w:sz w:val="24"/>
          <w:szCs w:val="24"/>
        </w:rPr>
      </w:pPr>
      <w:r>
        <w:rPr>
          <w:rFonts w:hint="eastAsia"/>
          <w:sz w:val="24"/>
          <w:szCs w:val="24"/>
        </w:rPr>
        <w:t>2.11.1原则上采用银行转帐方式</w:t>
      </w:r>
      <w:r>
        <w:rPr>
          <w:rFonts w:hint="eastAsia"/>
          <w:sz w:val="24"/>
          <w:szCs w:val="24"/>
          <w:lang w:eastAsia="zh-CN"/>
        </w:rPr>
        <w:t>，</w:t>
      </w:r>
      <w:r>
        <w:rPr>
          <w:rFonts w:hint="eastAsia"/>
          <w:sz w:val="24"/>
          <w:szCs w:val="24"/>
        </w:rPr>
        <w:t>并要求厂商提供相关资料:《企业营业执照》、《税务登记证》、银行账号等。在核实按质、按量、确保售后服务下完成交货程序后，按财务流程实施货款支付；</w:t>
      </w:r>
    </w:p>
    <w:p>
      <w:pPr>
        <w:spacing w:line="360" w:lineRule="auto"/>
        <w:ind w:firstLine="480" w:firstLineChars="200"/>
        <w:rPr>
          <w:sz w:val="24"/>
          <w:szCs w:val="24"/>
        </w:rPr>
      </w:pPr>
      <w:r>
        <w:rPr>
          <w:rFonts w:hint="eastAsia"/>
          <w:sz w:val="24"/>
          <w:szCs w:val="24"/>
        </w:rPr>
        <w:t>2.11.2对于以下几方面特殊情况可使用部门备用金采购：1000 元以下零星小额采购，且现有供应商不能提供的物品；2000 元以下紧急采购</w:t>
      </w:r>
      <w:r>
        <w:rPr>
          <w:rFonts w:hint="eastAsia"/>
          <w:sz w:val="24"/>
          <w:szCs w:val="24"/>
          <w:lang w:eastAsia="zh-CN"/>
        </w:rPr>
        <w:t>，</w:t>
      </w:r>
      <w:r>
        <w:rPr>
          <w:rFonts w:hint="eastAsia"/>
          <w:sz w:val="24"/>
          <w:szCs w:val="24"/>
        </w:rPr>
        <w:t>供应商不接受转帐结算</w:t>
      </w:r>
      <w:r>
        <w:rPr>
          <w:rFonts w:hint="eastAsia"/>
          <w:sz w:val="24"/>
          <w:szCs w:val="24"/>
          <w:lang w:eastAsia="zh-CN"/>
        </w:rPr>
        <w:t>，</w:t>
      </w:r>
      <w:r>
        <w:rPr>
          <w:rFonts w:hint="eastAsia"/>
          <w:sz w:val="24"/>
          <w:szCs w:val="24"/>
        </w:rPr>
        <w:t>且现有转帐结算的供应商不能在交货期内提供的物品。</w:t>
      </w:r>
    </w:p>
    <w:p>
      <w:pPr>
        <w:spacing w:line="360" w:lineRule="auto"/>
        <w:ind w:firstLine="480" w:firstLineChars="200"/>
        <w:rPr>
          <w:sz w:val="24"/>
          <w:szCs w:val="24"/>
        </w:rPr>
      </w:pPr>
      <w:r>
        <w:rPr>
          <w:rFonts w:hint="eastAsia"/>
          <w:sz w:val="24"/>
          <w:szCs w:val="24"/>
        </w:rPr>
        <w:t>2.11.3其它一些特殊情况下需要现金紧急采购且采购金额在2000元至5000元之间的</w:t>
      </w:r>
      <w:r>
        <w:rPr>
          <w:rFonts w:hint="eastAsia"/>
          <w:sz w:val="24"/>
          <w:szCs w:val="24"/>
          <w:lang w:eastAsia="zh-CN"/>
        </w:rPr>
        <w:t>，</w:t>
      </w:r>
      <w:r>
        <w:rPr>
          <w:rFonts w:hint="eastAsia"/>
          <w:sz w:val="24"/>
          <w:szCs w:val="24"/>
        </w:rPr>
        <w:t>须先经财务部审核，经理事长批准同意后方能实施采购。</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 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p>
    <w:p>
      <w:pPr>
        <w:spacing w:line="360" w:lineRule="auto"/>
        <w:ind w:firstLine="480" w:firstLineChars="200"/>
        <w:rPr>
          <w:sz w:val="24"/>
          <w:szCs w:val="24"/>
        </w:rPr>
      </w:pPr>
    </w:p>
    <w:p>
      <w:pPr>
        <w:spacing w:line="360" w:lineRule="auto"/>
        <w:ind w:firstLine="480" w:firstLineChars="200"/>
        <w:rPr>
          <w:sz w:val="24"/>
          <w:szCs w:val="24"/>
        </w:rPr>
      </w:pPr>
    </w:p>
    <w:p>
      <w:pPr>
        <w:spacing w:before="156" w:beforeLines="50" w:after="156" w:afterLines="50" w:line="360" w:lineRule="auto"/>
        <w:jc w:val="center"/>
        <w:outlineLvl w:val="1"/>
        <w:rPr>
          <w:rFonts w:ascii="黑体" w:hAnsi="黑体" w:eastAsia="黑体"/>
          <w:b/>
          <w:sz w:val="32"/>
          <w:szCs w:val="32"/>
        </w:rPr>
      </w:pPr>
      <w:bookmarkStart w:id="12" w:name="_Toc22232"/>
      <w:bookmarkStart w:id="13" w:name="_Toc403829180"/>
      <w:r>
        <w:rPr>
          <w:rFonts w:hint="eastAsia" w:ascii="黑体" w:hAnsi="黑体" w:eastAsia="黑体"/>
          <w:b/>
          <w:sz w:val="32"/>
          <w:szCs w:val="32"/>
        </w:rPr>
        <w:t>七 北京</w:t>
      </w:r>
      <w:r>
        <w:rPr>
          <w:rFonts w:hint="eastAsia" w:ascii="黑体" w:hAnsi="黑体" w:eastAsia="黑体"/>
          <w:b/>
          <w:sz w:val="32"/>
          <w:szCs w:val="32"/>
          <w:lang w:eastAsia="zh-CN"/>
        </w:rPr>
        <w:t>天地文化发展</w:t>
      </w:r>
      <w:r>
        <w:rPr>
          <w:rFonts w:hint="eastAsia" w:ascii="黑体" w:hAnsi="黑体" w:eastAsia="黑体"/>
          <w:b/>
          <w:sz w:val="32"/>
          <w:szCs w:val="32"/>
        </w:rPr>
        <w:t>基金会资产管理制度</w:t>
      </w:r>
      <w:bookmarkEnd w:id="12"/>
      <w:bookmarkEnd w:id="13"/>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1.1为提高</w:t>
      </w:r>
      <w:r>
        <w:rPr>
          <w:rFonts w:hint="eastAsia"/>
          <w:sz w:val="24"/>
          <w:szCs w:val="24"/>
          <w:lang w:eastAsia="zh-CN"/>
        </w:rPr>
        <w:t>北京天地文化发展</w:t>
      </w:r>
      <w:r>
        <w:rPr>
          <w:rFonts w:hint="eastAsia"/>
          <w:sz w:val="24"/>
          <w:szCs w:val="24"/>
        </w:rPr>
        <w:t>基金会（以下简称“本基金会”）资产管理的合理、规范及协调有效性，特制定此制度。</w:t>
      </w:r>
    </w:p>
    <w:p>
      <w:pPr>
        <w:spacing w:line="360" w:lineRule="auto"/>
        <w:ind w:firstLine="480" w:firstLineChars="200"/>
        <w:rPr>
          <w:sz w:val="24"/>
          <w:szCs w:val="24"/>
        </w:rPr>
      </w:pPr>
      <w:r>
        <w:rPr>
          <w:rFonts w:hint="eastAsia"/>
          <w:sz w:val="24"/>
          <w:szCs w:val="24"/>
        </w:rPr>
        <w:t>1.2 本制度的资产管理包括固定资产管理和公用物品管理两类。</w:t>
      </w:r>
    </w:p>
    <w:p>
      <w:pPr>
        <w:spacing w:line="360" w:lineRule="auto"/>
        <w:ind w:firstLine="480" w:firstLineChars="200"/>
        <w:rPr>
          <w:sz w:val="24"/>
          <w:szCs w:val="24"/>
        </w:rPr>
      </w:pPr>
      <w:r>
        <w:rPr>
          <w:rFonts w:hint="eastAsia"/>
          <w:sz w:val="24"/>
          <w:szCs w:val="24"/>
        </w:rPr>
        <w:t>1.3 本制度适用于</w:t>
      </w:r>
      <w:r>
        <w:rPr>
          <w:rFonts w:hint="eastAsia"/>
          <w:sz w:val="24"/>
          <w:szCs w:val="24"/>
          <w:lang w:eastAsia="zh-CN"/>
        </w:rPr>
        <w:t>北京天地文化发展</w:t>
      </w:r>
      <w:r>
        <w:rPr>
          <w:rFonts w:hint="eastAsia"/>
          <w:sz w:val="24"/>
          <w:szCs w:val="24"/>
        </w:rPr>
        <w:t>基金会。</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2.固定资产管理</w:t>
      </w:r>
    </w:p>
    <w:p>
      <w:pPr>
        <w:spacing w:line="360" w:lineRule="auto"/>
        <w:ind w:firstLine="480" w:firstLineChars="200"/>
        <w:rPr>
          <w:sz w:val="24"/>
          <w:szCs w:val="24"/>
        </w:rPr>
      </w:pPr>
      <w:r>
        <w:rPr>
          <w:rFonts w:hint="eastAsia"/>
          <w:sz w:val="24"/>
          <w:szCs w:val="24"/>
        </w:rPr>
        <w:t>2.1固定资产类别</w:t>
      </w:r>
    </w:p>
    <w:p>
      <w:pPr>
        <w:spacing w:line="360" w:lineRule="auto"/>
        <w:ind w:firstLine="480" w:firstLineChars="200"/>
        <w:rPr>
          <w:sz w:val="24"/>
          <w:szCs w:val="24"/>
        </w:rPr>
      </w:pPr>
      <w:r>
        <w:rPr>
          <w:rFonts w:hint="eastAsia"/>
          <w:sz w:val="24"/>
          <w:szCs w:val="24"/>
        </w:rPr>
        <w:t>使用期限超过一年且单价在人民币2</w:t>
      </w:r>
      <w:r>
        <w:rPr>
          <w:rFonts w:hint="eastAsia"/>
          <w:sz w:val="24"/>
          <w:szCs w:val="24"/>
          <w:lang w:val="en-US" w:eastAsia="zh-CN"/>
        </w:rPr>
        <w:t>,</w:t>
      </w:r>
      <w:r>
        <w:rPr>
          <w:rFonts w:hint="eastAsia"/>
          <w:sz w:val="24"/>
          <w:szCs w:val="24"/>
        </w:rPr>
        <w:t>000 元以上（含2</w:t>
      </w:r>
      <w:r>
        <w:rPr>
          <w:rFonts w:hint="eastAsia"/>
          <w:sz w:val="24"/>
          <w:szCs w:val="24"/>
          <w:lang w:val="en-US" w:eastAsia="zh-CN"/>
        </w:rPr>
        <w:t>,</w:t>
      </w:r>
      <w:r>
        <w:rPr>
          <w:rFonts w:hint="eastAsia"/>
          <w:sz w:val="24"/>
          <w:szCs w:val="24"/>
        </w:rPr>
        <w:t>000 元）的房屋、建筑物、机器、设备、用具、运输工具等。</w:t>
      </w:r>
    </w:p>
    <w:p>
      <w:pPr>
        <w:spacing w:line="360" w:lineRule="auto"/>
        <w:ind w:firstLine="480" w:firstLineChars="200"/>
        <w:rPr>
          <w:sz w:val="24"/>
          <w:szCs w:val="24"/>
        </w:rPr>
      </w:pPr>
      <w:r>
        <w:rPr>
          <w:rFonts w:hint="eastAsia"/>
          <w:sz w:val="24"/>
          <w:szCs w:val="24"/>
        </w:rPr>
        <w:t>2.2管理分工</w:t>
      </w:r>
    </w:p>
    <w:p>
      <w:pPr>
        <w:spacing w:line="360" w:lineRule="auto"/>
        <w:ind w:firstLine="480" w:firstLineChars="200"/>
        <w:rPr>
          <w:sz w:val="24"/>
          <w:szCs w:val="24"/>
        </w:rPr>
      </w:pPr>
      <w:r>
        <w:rPr>
          <w:rFonts w:hint="eastAsia"/>
          <w:sz w:val="24"/>
          <w:szCs w:val="24"/>
        </w:rPr>
        <w:t>2.2.1 综合管理部固定资产统筹管理部门，负责购置、安装、维护和并建立编号、账册；</w:t>
      </w:r>
    </w:p>
    <w:p>
      <w:pPr>
        <w:spacing w:line="360" w:lineRule="auto"/>
        <w:ind w:firstLine="480" w:firstLineChars="200"/>
        <w:rPr>
          <w:sz w:val="24"/>
          <w:szCs w:val="24"/>
        </w:rPr>
      </w:pPr>
      <w:r>
        <w:rPr>
          <w:rFonts w:hint="eastAsia"/>
          <w:sz w:val="24"/>
          <w:szCs w:val="24"/>
        </w:rPr>
        <w:t>2.2.2 使用部门及使用个人负责固定资产的日常管理及故障的报修；</w:t>
      </w:r>
    </w:p>
    <w:p>
      <w:pPr>
        <w:spacing w:line="360" w:lineRule="auto"/>
        <w:ind w:firstLine="480" w:firstLineChars="200"/>
        <w:rPr>
          <w:sz w:val="24"/>
          <w:szCs w:val="24"/>
        </w:rPr>
      </w:pPr>
      <w:r>
        <w:rPr>
          <w:rFonts w:hint="eastAsia"/>
          <w:sz w:val="24"/>
          <w:szCs w:val="24"/>
        </w:rPr>
        <w:t>2.2.3 财务部实施固定资产财务入账。</w:t>
      </w:r>
    </w:p>
    <w:p>
      <w:pPr>
        <w:spacing w:line="360" w:lineRule="auto"/>
        <w:ind w:firstLine="480" w:firstLineChars="200"/>
        <w:rPr>
          <w:sz w:val="24"/>
          <w:szCs w:val="24"/>
        </w:rPr>
      </w:pPr>
      <w:r>
        <w:rPr>
          <w:rFonts w:hint="eastAsia"/>
          <w:sz w:val="24"/>
          <w:szCs w:val="24"/>
        </w:rPr>
        <w:t>2.3 管理部门管理职责</w:t>
      </w:r>
    </w:p>
    <w:p>
      <w:pPr>
        <w:spacing w:line="360" w:lineRule="auto"/>
        <w:ind w:firstLine="480" w:firstLineChars="200"/>
        <w:rPr>
          <w:sz w:val="24"/>
          <w:szCs w:val="24"/>
        </w:rPr>
      </w:pPr>
      <w:r>
        <w:rPr>
          <w:rFonts w:hint="eastAsia"/>
          <w:sz w:val="24"/>
          <w:szCs w:val="24"/>
        </w:rPr>
        <w:t>2.3.1 进行固定资产的购置、验收、维保、转移、报废等；</w:t>
      </w:r>
    </w:p>
    <w:p>
      <w:pPr>
        <w:spacing w:line="360" w:lineRule="auto"/>
        <w:ind w:firstLine="480" w:firstLineChars="200"/>
        <w:rPr>
          <w:sz w:val="24"/>
          <w:szCs w:val="24"/>
        </w:rPr>
      </w:pPr>
      <w:r>
        <w:rPr>
          <w:rFonts w:hint="eastAsia"/>
          <w:sz w:val="24"/>
          <w:szCs w:val="24"/>
        </w:rPr>
        <w:t>3.2.2 负责监督、配合使用部门对固定资产的使用和维护，确保资产完好、正常使用；</w:t>
      </w:r>
    </w:p>
    <w:p>
      <w:pPr>
        <w:spacing w:line="360" w:lineRule="auto"/>
        <w:ind w:firstLine="480" w:firstLineChars="200"/>
        <w:rPr>
          <w:sz w:val="24"/>
          <w:szCs w:val="24"/>
        </w:rPr>
      </w:pPr>
      <w:r>
        <w:rPr>
          <w:rFonts w:hint="eastAsia"/>
          <w:sz w:val="24"/>
          <w:szCs w:val="24"/>
        </w:rPr>
        <w:t>2.2.3 实施资产的分类，统一编号，设计资产标签，建立固定资产档案；</w:t>
      </w:r>
    </w:p>
    <w:p>
      <w:pPr>
        <w:spacing w:line="360" w:lineRule="auto"/>
        <w:ind w:firstLine="480" w:firstLineChars="200"/>
        <w:rPr>
          <w:sz w:val="24"/>
          <w:szCs w:val="24"/>
        </w:rPr>
      </w:pPr>
      <w:r>
        <w:rPr>
          <w:rFonts w:hint="eastAsia"/>
          <w:sz w:val="24"/>
          <w:szCs w:val="24"/>
        </w:rPr>
        <w:t>2.3.4 定期组织资产的清点，保证帐、卡、物相符，随时掌握固定资产的使用状况；</w:t>
      </w:r>
    </w:p>
    <w:p>
      <w:pPr>
        <w:spacing w:line="360" w:lineRule="auto"/>
        <w:ind w:firstLine="480" w:firstLineChars="200"/>
        <w:rPr>
          <w:sz w:val="24"/>
          <w:szCs w:val="24"/>
        </w:rPr>
      </w:pPr>
      <w:r>
        <w:rPr>
          <w:rFonts w:hint="eastAsia"/>
          <w:sz w:val="24"/>
          <w:szCs w:val="24"/>
        </w:rPr>
        <w:t>2.2.5 对违反固定资产管理制度，包括擅自赠送、变卖、拆除、破坏固定资产的行为等，将追查责任，视情节给予处罚。</w:t>
      </w:r>
    </w:p>
    <w:p>
      <w:pPr>
        <w:spacing w:line="360" w:lineRule="auto"/>
        <w:ind w:firstLine="480" w:firstLineChars="200"/>
        <w:rPr>
          <w:sz w:val="24"/>
          <w:szCs w:val="24"/>
        </w:rPr>
      </w:pPr>
      <w:r>
        <w:rPr>
          <w:rFonts w:hint="eastAsia"/>
          <w:sz w:val="24"/>
          <w:szCs w:val="24"/>
        </w:rPr>
        <w:t>2.4 使用部门职责</w:t>
      </w:r>
    </w:p>
    <w:p>
      <w:pPr>
        <w:spacing w:line="360" w:lineRule="auto"/>
        <w:ind w:firstLine="480" w:firstLineChars="200"/>
        <w:rPr>
          <w:sz w:val="24"/>
          <w:szCs w:val="24"/>
        </w:rPr>
      </w:pPr>
      <w:r>
        <w:rPr>
          <w:rFonts w:hint="eastAsia"/>
          <w:sz w:val="24"/>
          <w:szCs w:val="24"/>
        </w:rPr>
        <w:t>2.4.1 负责本部门的资产管理，由指定员工跟踪资产使用、保管、维护事宜；</w:t>
      </w:r>
    </w:p>
    <w:p>
      <w:pPr>
        <w:spacing w:line="360" w:lineRule="auto"/>
        <w:ind w:firstLine="480" w:firstLineChars="200"/>
        <w:rPr>
          <w:sz w:val="24"/>
          <w:szCs w:val="24"/>
        </w:rPr>
      </w:pPr>
      <w:r>
        <w:rPr>
          <w:rFonts w:hint="eastAsia"/>
          <w:sz w:val="24"/>
          <w:szCs w:val="24"/>
        </w:rPr>
        <w:t>2.4.2 按资产使用方法使用及日常维护，确保资产的的完好及正常运作；</w:t>
      </w:r>
    </w:p>
    <w:p>
      <w:pPr>
        <w:spacing w:line="360" w:lineRule="auto"/>
        <w:ind w:firstLine="480" w:firstLineChars="200"/>
        <w:rPr>
          <w:sz w:val="24"/>
          <w:szCs w:val="24"/>
        </w:rPr>
      </w:pPr>
      <w:r>
        <w:rPr>
          <w:rFonts w:hint="eastAsia"/>
          <w:sz w:val="24"/>
          <w:szCs w:val="24"/>
        </w:rPr>
        <w:t>2.4.3 固定资产的领用、转移、报废必须经综合管理部及秘书长批准，未经批准，不得擅自调动、报废，更不得自行外借和变卖。</w:t>
      </w:r>
    </w:p>
    <w:p>
      <w:pPr>
        <w:spacing w:line="360" w:lineRule="auto"/>
        <w:ind w:firstLine="480" w:firstLineChars="200"/>
        <w:rPr>
          <w:sz w:val="24"/>
          <w:szCs w:val="24"/>
        </w:rPr>
      </w:pPr>
      <w:r>
        <w:rPr>
          <w:rFonts w:hint="eastAsia"/>
          <w:sz w:val="24"/>
          <w:szCs w:val="24"/>
        </w:rPr>
        <w:t>2.5 固定资产的购置、验收、领用</w:t>
      </w:r>
    </w:p>
    <w:p>
      <w:pPr>
        <w:spacing w:line="360" w:lineRule="auto"/>
        <w:ind w:firstLine="480" w:firstLineChars="200"/>
        <w:rPr>
          <w:sz w:val="24"/>
          <w:szCs w:val="24"/>
        </w:rPr>
      </w:pPr>
      <w:r>
        <w:rPr>
          <w:rFonts w:hint="eastAsia"/>
          <w:sz w:val="24"/>
          <w:szCs w:val="24"/>
        </w:rPr>
        <w:t>2.5.1 因工作需要，部门购置固定资产须提前向秘书长提出申请，经秘书长批准后，由综合管理部购置；</w:t>
      </w:r>
    </w:p>
    <w:p>
      <w:pPr>
        <w:spacing w:line="360" w:lineRule="auto"/>
        <w:ind w:firstLine="480" w:firstLineChars="200"/>
        <w:rPr>
          <w:sz w:val="24"/>
          <w:szCs w:val="24"/>
        </w:rPr>
      </w:pPr>
      <w:r>
        <w:rPr>
          <w:rFonts w:hint="eastAsia"/>
          <w:sz w:val="24"/>
          <w:szCs w:val="24"/>
        </w:rPr>
        <w:t>2.5.2 固定资产购入后，由使用部门及综合管理部检查、验收。</w:t>
      </w:r>
    </w:p>
    <w:p>
      <w:pPr>
        <w:spacing w:line="360" w:lineRule="auto"/>
        <w:ind w:firstLine="480" w:firstLineChars="200"/>
        <w:rPr>
          <w:sz w:val="24"/>
          <w:szCs w:val="24"/>
        </w:rPr>
      </w:pPr>
      <w:r>
        <w:rPr>
          <w:rFonts w:hint="eastAsia"/>
          <w:sz w:val="24"/>
          <w:szCs w:val="24"/>
        </w:rPr>
        <w:t>2.6 固定资产的调拨与转移</w:t>
      </w:r>
    </w:p>
    <w:p>
      <w:pPr>
        <w:spacing w:line="360" w:lineRule="auto"/>
        <w:ind w:firstLine="480" w:firstLineChars="200"/>
        <w:rPr>
          <w:sz w:val="24"/>
          <w:szCs w:val="24"/>
        </w:rPr>
      </w:pPr>
      <w:r>
        <w:rPr>
          <w:rFonts w:hint="eastAsia"/>
          <w:sz w:val="24"/>
          <w:szCs w:val="24"/>
        </w:rPr>
        <w:t>2.6.1 固定资产未经综合管理部门批准，不得擅自调拔、转移、借出和出售；如有违规，将追究部门负责人及经办人的责任。</w:t>
      </w:r>
    </w:p>
    <w:p>
      <w:pPr>
        <w:spacing w:line="360" w:lineRule="auto"/>
        <w:ind w:firstLine="480" w:firstLineChars="200"/>
        <w:rPr>
          <w:sz w:val="24"/>
          <w:szCs w:val="24"/>
        </w:rPr>
      </w:pPr>
      <w:r>
        <w:rPr>
          <w:rFonts w:hint="eastAsia"/>
          <w:sz w:val="24"/>
          <w:szCs w:val="24"/>
        </w:rPr>
        <w:t>2.6.2 固定资产的调拨及转移，须向综合管理部递交《固定资产转移单》，经批准后即办理资产转移手续，同时由调出、调入部门的负责人及经办人签字后，可资产移交，同时报备综合管理部；</w:t>
      </w:r>
    </w:p>
    <w:p>
      <w:pPr>
        <w:spacing w:line="360" w:lineRule="auto"/>
        <w:ind w:firstLine="480" w:firstLineChars="200"/>
        <w:rPr>
          <w:sz w:val="24"/>
          <w:szCs w:val="24"/>
        </w:rPr>
      </w:pPr>
      <w:r>
        <w:rPr>
          <w:rFonts w:hint="eastAsia"/>
          <w:sz w:val="24"/>
          <w:szCs w:val="24"/>
        </w:rPr>
        <w:t>2.7 固定资产的报废与封存</w:t>
      </w:r>
    </w:p>
    <w:p>
      <w:pPr>
        <w:spacing w:line="360" w:lineRule="auto"/>
        <w:ind w:firstLine="480" w:firstLineChars="200"/>
        <w:rPr>
          <w:sz w:val="24"/>
          <w:szCs w:val="24"/>
        </w:rPr>
      </w:pPr>
      <w:r>
        <w:rPr>
          <w:rFonts w:hint="eastAsia"/>
          <w:sz w:val="24"/>
          <w:szCs w:val="24"/>
        </w:rPr>
        <w:t>2.7.1 固定资产的报废，须由使用部门提出申请，填写《资产报废申请单》，经秘书长批准复后，方可办理报废。</w:t>
      </w:r>
    </w:p>
    <w:p>
      <w:pPr>
        <w:spacing w:line="360" w:lineRule="auto"/>
        <w:ind w:firstLine="480" w:firstLineChars="200"/>
        <w:rPr>
          <w:sz w:val="24"/>
          <w:szCs w:val="24"/>
        </w:rPr>
      </w:pPr>
      <w:r>
        <w:rPr>
          <w:rFonts w:hint="eastAsia"/>
          <w:sz w:val="24"/>
          <w:szCs w:val="24"/>
        </w:rPr>
        <w:t>2.7.2 凡符合下列条件可申请报废：</w:t>
      </w:r>
    </w:p>
    <w:p>
      <w:pPr>
        <w:spacing w:line="360" w:lineRule="auto"/>
        <w:ind w:firstLine="480" w:firstLineChars="200"/>
        <w:rPr>
          <w:sz w:val="24"/>
          <w:szCs w:val="24"/>
        </w:rPr>
      </w:pPr>
      <w:r>
        <w:rPr>
          <w:rFonts w:hint="eastAsia"/>
          <w:sz w:val="24"/>
          <w:szCs w:val="24"/>
        </w:rPr>
        <w:t>2.7.2.1 超过使用年限，主要结构、配件陈旧，精度低劣、工作效率低，耗能高，而且不能改造利用的；</w:t>
      </w:r>
    </w:p>
    <w:p>
      <w:pPr>
        <w:spacing w:line="360" w:lineRule="auto"/>
        <w:ind w:firstLine="480" w:firstLineChars="200"/>
        <w:rPr>
          <w:sz w:val="24"/>
          <w:szCs w:val="24"/>
        </w:rPr>
      </w:pPr>
      <w:r>
        <w:rPr>
          <w:rFonts w:hint="eastAsia"/>
          <w:sz w:val="24"/>
          <w:szCs w:val="24"/>
        </w:rPr>
        <w:t>2.7.2.2 破损或故障严重无法修复或继续使用存在安全隐患；</w:t>
      </w:r>
    </w:p>
    <w:p>
      <w:pPr>
        <w:spacing w:line="360" w:lineRule="auto"/>
        <w:ind w:firstLine="480" w:firstLineChars="200"/>
        <w:rPr>
          <w:sz w:val="24"/>
          <w:szCs w:val="24"/>
        </w:rPr>
      </w:pPr>
      <w:r>
        <w:rPr>
          <w:rFonts w:hint="eastAsia"/>
          <w:sz w:val="24"/>
          <w:szCs w:val="24"/>
        </w:rPr>
        <w:t>2.7.2.3 因事故或其他自然灾害，使资产遭受损坏无修复价值；</w:t>
      </w:r>
    </w:p>
    <w:p>
      <w:pPr>
        <w:spacing w:line="360" w:lineRule="auto"/>
        <w:ind w:firstLine="480" w:firstLineChars="200"/>
        <w:rPr>
          <w:sz w:val="24"/>
          <w:szCs w:val="24"/>
        </w:rPr>
      </w:pPr>
      <w:r>
        <w:rPr>
          <w:rFonts w:hint="eastAsia"/>
          <w:sz w:val="24"/>
          <w:szCs w:val="24"/>
        </w:rPr>
        <w:t>2.7.2.4凡经批准报废的固定资产，管理部门与使用部门须及时作价处理， 处理后的固定资产由管理部门办理注销手续，变卖收入上交财务部；</w:t>
      </w:r>
    </w:p>
    <w:p>
      <w:pPr>
        <w:spacing w:line="360" w:lineRule="auto"/>
        <w:ind w:firstLine="480" w:firstLineChars="200"/>
        <w:rPr>
          <w:sz w:val="24"/>
          <w:szCs w:val="24"/>
        </w:rPr>
      </w:pPr>
      <w:r>
        <w:rPr>
          <w:rFonts w:hint="eastAsia"/>
          <w:sz w:val="24"/>
          <w:szCs w:val="24"/>
        </w:rPr>
        <w:t>2.7.3 凡停用三个月以上的固定资产由使用部门移交至综合管理部门统筹调拨有需求的部门使用或进行封存、保管；</w:t>
      </w:r>
    </w:p>
    <w:p>
      <w:pPr>
        <w:spacing w:line="360" w:lineRule="auto"/>
        <w:ind w:firstLine="480" w:firstLineChars="200"/>
        <w:rPr>
          <w:sz w:val="24"/>
          <w:szCs w:val="24"/>
        </w:rPr>
      </w:pPr>
      <w:r>
        <w:rPr>
          <w:rFonts w:hint="eastAsia"/>
          <w:sz w:val="24"/>
          <w:szCs w:val="24"/>
        </w:rPr>
        <w:t>2.8 固定资产清查</w:t>
      </w:r>
    </w:p>
    <w:p>
      <w:pPr>
        <w:spacing w:line="360" w:lineRule="auto"/>
        <w:ind w:firstLine="480" w:firstLineChars="200"/>
        <w:rPr>
          <w:sz w:val="24"/>
          <w:szCs w:val="24"/>
        </w:rPr>
      </w:pPr>
      <w:r>
        <w:rPr>
          <w:rFonts w:hint="eastAsia"/>
          <w:sz w:val="24"/>
          <w:szCs w:val="24"/>
        </w:rPr>
        <w:t>2.8.1为确保固定资产的安全与完整，综合管理部对固定资产进行定期清查、盘点，以掌握固定资产的实有数量，查明有无丢失、毁损或未列入帐，保证账实相符；</w:t>
      </w:r>
    </w:p>
    <w:p>
      <w:pPr>
        <w:spacing w:line="360" w:lineRule="auto"/>
        <w:ind w:firstLine="480" w:firstLineChars="200"/>
        <w:rPr>
          <w:sz w:val="24"/>
          <w:szCs w:val="24"/>
        </w:rPr>
      </w:pPr>
      <w:r>
        <w:rPr>
          <w:rFonts w:hint="eastAsia"/>
          <w:sz w:val="24"/>
          <w:szCs w:val="24"/>
        </w:rPr>
        <w:t>2.8.2 固定资产每半年清查一次，遇有下列情况，应当对有关固定资产进行全部或部分的临时清查：</w:t>
      </w:r>
    </w:p>
    <w:p>
      <w:pPr>
        <w:spacing w:line="360" w:lineRule="auto"/>
        <w:ind w:firstLine="480" w:firstLineChars="200"/>
        <w:rPr>
          <w:sz w:val="24"/>
          <w:szCs w:val="24"/>
        </w:rPr>
      </w:pPr>
      <w:r>
        <w:rPr>
          <w:rFonts w:hint="eastAsia"/>
          <w:sz w:val="24"/>
          <w:szCs w:val="24"/>
        </w:rPr>
        <w:t>2.8.2.1 直接固定资产的管理人员离职或调动；</w:t>
      </w:r>
    </w:p>
    <w:p>
      <w:pPr>
        <w:spacing w:line="360" w:lineRule="auto"/>
        <w:ind w:firstLine="480" w:firstLineChars="200"/>
        <w:rPr>
          <w:sz w:val="24"/>
          <w:szCs w:val="24"/>
        </w:rPr>
      </w:pPr>
      <w:r>
        <w:rPr>
          <w:rFonts w:hint="eastAsia"/>
          <w:sz w:val="24"/>
          <w:szCs w:val="24"/>
        </w:rPr>
        <w:t>2.8.2.2 因机构、业务变动，办理财产交接；</w:t>
      </w:r>
    </w:p>
    <w:p>
      <w:pPr>
        <w:spacing w:line="360" w:lineRule="auto"/>
        <w:ind w:firstLine="480" w:firstLineChars="200"/>
        <w:rPr>
          <w:sz w:val="24"/>
          <w:szCs w:val="24"/>
        </w:rPr>
      </w:pPr>
      <w:r>
        <w:rPr>
          <w:rFonts w:hint="eastAsia"/>
          <w:sz w:val="24"/>
          <w:szCs w:val="24"/>
        </w:rPr>
        <w:t>2.8.2.3 固定资产发生非正常损失事故；</w:t>
      </w:r>
    </w:p>
    <w:p>
      <w:pPr>
        <w:spacing w:line="360" w:lineRule="auto"/>
        <w:ind w:firstLine="480" w:firstLineChars="200"/>
        <w:rPr>
          <w:sz w:val="24"/>
          <w:szCs w:val="24"/>
        </w:rPr>
      </w:pPr>
      <w:r>
        <w:rPr>
          <w:rFonts w:hint="eastAsia"/>
          <w:sz w:val="24"/>
          <w:szCs w:val="24"/>
        </w:rPr>
        <w:t>2.8.2.4 根据工作需要决定进行的临时抽查。</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 公用物品管理</w:t>
      </w:r>
    </w:p>
    <w:p>
      <w:pPr>
        <w:spacing w:line="360" w:lineRule="auto"/>
        <w:ind w:firstLine="480" w:firstLineChars="200"/>
        <w:rPr>
          <w:sz w:val="24"/>
          <w:szCs w:val="24"/>
        </w:rPr>
      </w:pPr>
      <w:r>
        <w:rPr>
          <w:rFonts w:hint="eastAsia"/>
          <w:sz w:val="24"/>
          <w:szCs w:val="24"/>
        </w:rPr>
        <w:t>3.1公用物品类型：日常办公用品（如纸、笔等）；消耗品（如茶叶、咖啡等）。</w:t>
      </w:r>
    </w:p>
    <w:p>
      <w:pPr>
        <w:spacing w:line="360" w:lineRule="auto"/>
        <w:ind w:firstLine="480" w:firstLineChars="200"/>
        <w:rPr>
          <w:sz w:val="24"/>
          <w:szCs w:val="24"/>
        </w:rPr>
      </w:pPr>
      <w:r>
        <w:rPr>
          <w:rFonts w:hint="eastAsia"/>
          <w:sz w:val="24"/>
          <w:szCs w:val="24"/>
        </w:rPr>
        <w:t>3.2分工管理：本基金会统一使用的</w:t>
      </w:r>
      <w:r>
        <w:rPr>
          <w:rFonts w:hint="eastAsia"/>
          <w:sz w:val="24"/>
          <w:szCs w:val="24"/>
          <w:lang w:val="en-US" w:eastAsia="zh-CN"/>
        </w:rPr>
        <w:t>公</w:t>
      </w:r>
      <w:r>
        <w:rPr>
          <w:rFonts w:hint="eastAsia"/>
          <w:sz w:val="24"/>
          <w:szCs w:val="24"/>
        </w:rPr>
        <w:t>用物品由行政人员负责统一采购、发放、保管、回收。</w:t>
      </w:r>
    </w:p>
    <w:p>
      <w:pPr>
        <w:spacing w:line="360" w:lineRule="auto"/>
        <w:ind w:firstLine="480" w:firstLineChars="200"/>
        <w:rPr>
          <w:sz w:val="24"/>
          <w:szCs w:val="24"/>
        </w:rPr>
      </w:pPr>
      <w:r>
        <w:rPr>
          <w:rFonts w:hint="eastAsia"/>
          <w:sz w:val="24"/>
          <w:szCs w:val="24"/>
        </w:rPr>
        <w:t>3.3公用物品盘点：行政人员将不定期盘点共用物品。各部门专用的物品有各部门自行管理保存。</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p>
    <w:p>
      <w:pPr>
        <w:spacing w:line="360" w:lineRule="auto"/>
        <w:rPr>
          <w:sz w:val="24"/>
          <w:szCs w:val="24"/>
        </w:rPr>
      </w:pPr>
    </w:p>
    <w:p>
      <w:pPr>
        <w:spacing w:line="360" w:lineRule="auto"/>
        <w:rPr>
          <w:sz w:val="24"/>
          <w:szCs w:val="24"/>
        </w:rPr>
      </w:pPr>
    </w:p>
    <w:p>
      <w:pPr>
        <w:spacing w:before="156" w:beforeLines="50" w:after="156" w:afterLines="50" w:line="360" w:lineRule="auto"/>
        <w:jc w:val="center"/>
        <w:outlineLvl w:val="1"/>
        <w:rPr>
          <w:rFonts w:ascii="黑体" w:hAnsi="黑体" w:eastAsia="黑体"/>
          <w:b/>
          <w:sz w:val="32"/>
          <w:szCs w:val="32"/>
        </w:rPr>
      </w:pPr>
      <w:bookmarkStart w:id="14" w:name="_Toc15550"/>
      <w:bookmarkStart w:id="15" w:name="_Toc403829181"/>
      <w:r>
        <w:rPr>
          <w:rFonts w:hint="eastAsia" w:ascii="黑体" w:hAnsi="黑体" w:eastAsia="黑体"/>
          <w:b/>
          <w:sz w:val="32"/>
          <w:szCs w:val="32"/>
        </w:rPr>
        <w:t xml:space="preserve">八 </w:t>
      </w:r>
      <w:r>
        <w:rPr>
          <w:rFonts w:hint="eastAsia" w:ascii="黑体" w:hAnsi="黑体" w:eastAsia="黑体"/>
          <w:b/>
          <w:sz w:val="32"/>
          <w:szCs w:val="32"/>
          <w:lang w:eastAsia="zh-CN"/>
        </w:rPr>
        <w:t>北京天地文化发展</w:t>
      </w:r>
      <w:r>
        <w:rPr>
          <w:rFonts w:hint="eastAsia" w:ascii="黑体" w:hAnsi="黑体" w:eastAsia="黑体"/>
          <w:b/>
          <w:sz w:val="32"/>
          <w:szCs w:val="32"/>
        </w:rPr>
        <w:t>基金会信息公开制度</w:t>
      </w:r>
      <w:bookmarkEnd w:id="14"/>
      <w:bookmarkEnd w:id="15"/>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1.1为完善</w:t>
      </w:r>
      <w:r>
        <w:rPr>
          <w:rFonts w:hint="eastAsia"/>
          <w:sz w:val="24"/>
          <w:szCs w:val="24"/>
          <w:lang w:eastAsia="zh-CN"/>
        </w:rPr>
        <w:t>北京天地文化发展</w:t>
      </w:r>
      <w:r>
        <w:rPr>
          <w:rFonts w:hint="eastAsia"/>
          <w:sz w:val="24"/>
          <w:szCs w:val="24"/>
        </w:rPr>
        <w:t>基金会（以下简称“本基金会”）的制度建设，规范本基金会日常工作行为，依据国务院《中华人民共和国慈善法》、《基金会管理条例》、《慈善组织信息公开管理办法》、《</w:t>
      </w:r>
      <w:r>
        <w:rPr>
          <w:rFonts w:hint="eastAsia"/>
          <w:sz w:val="24"/>
          <w:szCs w:val="24"/>
          <w:lang w:eastAsia="zh-CN"/>
        </w:rPr>
        <w:t>北京天地文化发展</w:t>
      </w:r>
      <w:r>
        <w:rPr>
          <w:rFonts w:hint="eastAsia"/>
          <w:sz w:val="24"/>
          <w:szCs w:val="24"/>
        </w:rPr>
        <w:t>基金会章程》以及相关规定，特制定本制度。</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2．信息公开基本原则</w:t>
      </w:r>
    </w:p>
    <w:p>
      <w:pPr>
        <w:spacing w:line="360" w:lineRule="auto"/>
        <w:ind w:firstLine="480" w:firstLineChars="200"/>
        <w:rPr>
          <w:sz w:val="24"/>
          <w:szCs w:val="24"/>
        </w:rPr>
      </w:pPr>
      <w:r>
        <w:rPr>
          <w:rFonts w:hint="eastAsia"/>
          <w:sz w:val="24"/>
          <w:szCs w:val="24"/>
        </w:rPr>
        <w:t>为规范慈善组织的信息公开行为，保护捐赠人、志愿者、受益人等的合法权益，维护社会公众的知情权，促进慈善事业发展。本基金会应严格遵守慈山组织信息公开基本原则。</w:t>
      </w:r>
    </w:p>
    <w:p>
      <w:pPr>
        <w:spacing w:line="360" w:lineRule="auto"/>
        <w:ind w:firstLine="480" w:firstLineChars="200"/>
        <w:rPr>
          <w:sz w:val="24"/>
          <w:szCs w:val="24"/>
        </w:rPr>
      </w:pPr>
      <w:r>
        <w:rPr>
          <w:rFonts w:hint="eastAsia"/>
          <w:sz w:val="24"/>
          <w:szCs w:val="24"/>
        </w:rPr>
        <w:t>2.1真实原则。基金会按本制度规定的公开内容及时公开相关信息，并确保信息真实、准确和有效；</w:t>
      </w:r>
    </w:p>
    <w:p>
      <w:pPr>
        <w:spacing w:line="360" w:lineRule="auto"/>
        <w:ind w:firstLine="480" w:firstLineChars="200"/>
        <w:rPr>
          <w:sz w:val="24"/>
          <w:szCs w:val="24"/>
        </w:rPr>
      </w:pPr>
      <w:r>
        <w:rPr>
          <w:rFonts w:hint="eastAsia"/>
          <w:sz w:val="24"/>
          <w:szCs w:val="24"/>
        </w:rPr>
        <w:t>2.2完整原则。信息公开方式尽力保障社会公众及有关单位能够方便、完整地查阅和获取公开的信息；</w:t>
      </w:r>
    </w:p>
    <w:p>
      <w:pPr>
        <w:spacing w:line="360" w:lineRule="auto"/>
        <w:ind w:firstLine="480" w:firstLineChars="200"/>
        <w:rPr>
          <w:sz w:val="24"/>
          <w:szCs w:val="24"/>
        </w:rPr>
      </w:pPr>
      <w:r>
        <w:rPr>
          <w:rFonts w:hint="eastAsia"/>
          <w:sz w:val="24"/>
          <w:szCs w:val="24"/>
        </w:rPr>
        <w:t>2.3及时原则。制定信息公开工作流程和信息公开规范，明确信息公开责任主体，时间结点，使信息公开工作规范、有序、及时。</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3．信息公开基本要求</w:t>
      </w:r>
    </w:p>
    <w:p>
      <w:pPr>
        <w:spacing w:line="360" w:lineRule="auto"/>
        <w:ind w:firstLine="480" w:firstLineChars="200"/>
        <w:rPr>
          <w:sz w:val="24"/>
          <w:szCs w:val="24"/>
        </w:rPr>
      </w:pPr>
      <w:r>
        <w:rPr>
          <w:rFonts w:hint="eastAsia"/>
          <w:sz w:val="24"/>
          <w:szCs w:val="24"/>
        </w:rPr>
        <w:t>3.1 本基金会各部门均必须落实项目公开与披露制度，需全员重视并积极参与到信息公开工作中来。</w:t>
      </w:r>
    </w:p>
    <w:p>
      <w:pPr>
        <w:spacing w:line="360" w:lineRule="auto"/>
        <w:ind w:firstLine="480" w:firstLineChars="200"/>
        <w:rPr>
          <w:sz w:val="24"/>
          <w:szCs w:val="24"/>
        </w:rPr>
      </w:pPr>
      <w:r>
        <w:rPr>
          <w:rFonts w:hint="eastAsia"/>
          <w:sz w:val="24"/>
          <w:szCs w:val="24"/>
        </w:rPr>
        <w:t>3.2 公开捐赠人、合作伙伴和受益人信息需征得当事人同意或事先进行约定。</w:t>
      </w:r>
    </w:p>
    <w:p>
      <w:pPr>
        <w:spacing w:line="360" w:lineRule="auto"/>
        <w:ind w:firstLine="480" w:firstLineChars="200"/>
        <w:rPr>
          <w:sz w:val="24"/>
          <w:szCs w:val="24"/>
        </w:rPr>
      </w:pPr>
      <w:r>
        <w:rPr>
          <w:rFonts w:hint="eastAsia"/>
          <w:sz w:val="24"/>
          <w:szCs w:val="24"/>
        </w:rPr>
        <w:t>3.3 公开披露信息可能危及国家安全、侵犯他人权益或隐私，以及其他法律法规规定不予公开的信息可不予公开。</w:t>
      </w:r>
    </w:p>
    <w:p>
      <w:pPr>
        <w:spacing w:line="360" w:lineRule="auto"/>
        <w:ind w:firstLine="480" w:firstLineChars="200"/>
        <w:rPr>
          <w:sz w:val="24"/>
          <w:szCs w:val="24"/>
        </w:rPr>
      </w:pPr>
      <w:r>
        <w:rPr>
          <w:rFonts w:hint="eastAsia"/>
          <w:sz w:val="24"/>
          <w:szCs w:val="24"/>
        </w:rPr>
        <w:t>3.4 信息公开披露主体可按重大事件和日常性信息分类披露，即发生重大自然灾害、重大社会公益活动，由本基金会统一按重大事件专项信息披露；一般性项目及活动按日常性捐助信息披露。</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 信息公开内容</w:t>
      </w:r>
    </w:p>
    <w:p>
      <w:pPr>
        <w:spacing w:line="360" w:lineRule="auto"/>
        <w:ind w:firstLine="480" w:firstLineChars="200"/>
        <w:rPr>
          <w:sz w:val="24"/>
          <w:szCs w:val="24"/>
        </w:rPr>
      </w:pPr>
      <w:r>
        <w:rPr>
          <w:rFonts w:hint="eastAsia"/>
          <w:sz w:val="24"/>
          <w:szCs w:val="24"/>
        </w:rPr>
        <w:t>4.1 基金会按照“合法、真实、无偿”的要求，向社会公开如下信息；</w:t>
      </w:r>
    </w:p>
    <w:p>
      <w:pPr>
        <w:spacing w:line="360" w:lineRule="auto"/>
        <w:ind w:firstLine="480" w:firstLineChars="200"/>
        <w:rPr>
          <w:sz w:val="24"/>
          <w:szCs w:val="24"/>
        </w:rPr>
      </w:pPr>
      <w:r>
        <w:rPr>
          <w:rFonts w:hint="eastAsia"/>
          <w:sz w:val="24"/>
          <w:szCs w:val="24"/>
        </w:rPr>
        <w:t>4.1.1基金会基本信息，包括基金会的章程、宗旨、成立时间、原始基金、登记证号、秘书长简历、全职员工数量、原始基金出资方、联系电话、办公地址、理事姓名及工作单位、监事姓名、理事会职务、内部机构设置等；</w:t>
      </w:r>
    </w:p>
    <w:p>
      <w:pPr>
        <w:widowControl/>
        <w:spacing w:line="360" w:lineRule="auto"/>
        <w:ind w:firstLine="480" w:firstLineChars="200"/>
        <w:jc w:val="left"/>
        <w:textAlignment w:val="baseline"/>
        <w:rPr>
          <w:sz w:val="24"/>
          <w:szCs w:val="24"/>
        </w:rPr>
      </w:pPr>
      <w:r>
        <w:rPr>
          <w:rFonts w:hint="eastAsia"/>
          <w:sz w:val="24"/>
          <w:szCs w:val="24"/>
        </w:rPr>
        <w:t>4.</w:t>
      </w:r>
      <w:r>
        <w:rPr>
          <w:sz w:val="24"/>
          <w:szCs w:val="24"/>
        </w:rPr>
        <w:t>1.2</w:t>
      </w:r>
      <w:r>
        <w:rPr>
          <w:rFonts w:hint="eastAsia"/>
          <w:sz w:val="24"/>
          <w:szCs w:val="24"/>
        </w:rPr>
        <w:t>如有分支机构：下设的办事机构、分支机构、代表机构、专项基金和其他机构的名称、设立时间、存续情况、业务范围或者主要职能；</w:t>
      </w:r>
    </w:p>
    <w:p>
      <w:pPr>
        <w:widowControl/>
        <w:spacing w:line="360" w:lineRule="auto"/>
        <w:ind w:firstLine="480" w:firstLineChars="200"/>
        <w:jc w:val="left"/>
        <w:textAlignment w:val="baseline"/>
        <w:rPr>
          <w:sz w:val="24"/>
          <w:szCs w:val="24"/>
        </w:rPr>
      </w:pPr>
      <w:r>
        <w:rPr>
          <w:rFonts w:hint="eastAsia"/>
          <w:sz w:val="24"/>
          <w:szCs w:val="24"/>
        </w:rPr>
        <w:t>4.</w:t>
      </w:r>
      <w:r>
        <w:rPr>
          <w:sz w:val="24"/>
          <w:szCs w:val="24"/>
        </w:rPr>
        <w:t>1.3</w:t>
      </w:r>
      <w:r>
        <w:rPr>
          <w:rFonts w:hint="eastAsia"/>
          <w:sz w:val="24"/>
          <w:szCs w:val="24"/>
        </w:rPr>
        <w:t>重要关联方信息：发起人、主要捐赠人、管理人员、被投资方以及与慈善组织存在控制、共同控制或者重大影响关系的个人或者组织；</w:t>
      </w:r>
    </w:p>
    <w:p>
      <w:pPr>
        <w:widowControl/>
        <w:spacing w:line="360" w:lineRule="auto"/>
        <w:ind w:firstLine="480" w:firstLineChars="200"/>
        <w:jc w:val="left"/>
        <w:textAlignment w:val="baseline"/>
        <w:rPr>
          <w:sz w:val="24"/>
          <w:szCs w:val="24"/>
        </w:rPr>
      </w:pPr>
      <w:r>
        <w:rPr>
          <w:rFonts w:hint="eastAsia"/>
          <w:sz w:val="24"/>
          <w:szCs w:val="24"/>
        </w:rPr>
        <w:t>4</w:t>
      </w:r>
      <w:r>
        <w:rPr>
          <w:sz w:val="24"/>
          <w:szCs w:val="24"/>
        </w:rPr>
        <w:t>.1.4</w:t>
      </w:r>
      <w:r>
        <w:rPr>
          <w:rFonts w:hint="eastAsia"/>
          <w:sz w:val="24"/>
          <w:szCs w:val="24"/>
        </w:rPr>
        <w:t>本组织的联系人、联系方式，以本组织名义开通的门户网站、官方微博、官方微信或者移动客户端等网络平台；</w:t>
      </w:r>
    </w:p>
    <w:p>
      <w:pPr>
        <w:widowControl/>
        <w:spacing w:line="360" w:lineRule="auto"/>
        <w:ind w:firstLine="480" w:firstLineChars="200"/>
        <w:jc w:val="left"/>
        <w:textAlignment w:val="baseline"/>
        <w:rPr>
          <w:sz w:val="24"/>
          <w:szCs w:val="24"/>
        </w:rPr>
      </w:pPr>
      <w:r>
        <w:rPr>
          <w:rFonts w:hint="eastAsia"/>
          <w:sz w:val="24"/>
          <w:szCs w:val="24"/>
        </w:rPr>
        <w:t>4</w:t>
      </w:r>
      <w:r>
        <w:rPr>
          <w:sz w:val="24"/>
          <w:szCs w:val="24"/>
        </w:rPr>
        <w:t>.</w:t>
      </w:r>
      <w:r>
        <w:rPr>
          <w:rFonts w:hint="eastAsia"/>
          <w:sz w:val="24"/>
          <w:szCs w:val="24"/>
        </w:rPr>
        <w:t>1</w:t>
      </w:r>
      <w:r>
        <w:rPr>
          <w:sz w:val="24"/>
          <w:szCs w:val="24"/>
        </w:rPr>
        <w:t>.5</w:t>
      </w:r>
      <w:r>
        <w:rPr>
          <w:rFonts w:hint="eastAsia"/>
          <w:sz w:val="24"/>
          <w:szCs w:val="24"/>
        </w:rPr>
        <w:t>基金会各项管理制度信息：本组织的信息公开制度、项目管理制度、财务和资产管理制度等各项管理制度信息。</w:t>
      </w:r>
    </w:p>
    <w:p>
      <w:pPr>
        <w:spacing w:line="360" w:lineRule="auto"/>
        <w:ind w:firstLine="480" w:firstLineChars="200"/>
        <w:rPr>
          <w:sz w:val="24"/>
          <w:szCs w:val="24"/>
        </w:rPr>
      </w:pPr>
      <w:r>
        <w:rPr>
          <w:rFonts w:hint="eastAsia"/>
          <w:sz w:val="24"/>
          <w:szCs w:val="24"/>
        </w:rPr>
        <w:t>4.1.6基金会项目信息，包括基金会项目申请和资助程序、资助方式、项目名称、项目概述、执行地点、活动领域、项目收支、受助方、资金用途、项目展示等；</w:t>
      </w:r>
    </w:p>
    <w:p>
      <w:pPr>
        <w:spacing w:line="360" w:lineRule="auto"/>
        <w:ind w:firstLine="480" w:firstLineChars="200"/>
        <w:rPr>
          <w:sz w:val="24"/>
          <w:szCs w:val="24"/>
        </w:rPr>
      </w:pPr>
      <w:r>
        <w:rPr>
          <w:rFonts w:hint="eastAsia"/>
          <w:sz w:val="24"/>
          <w:szCs w:val="24"/>
        </w:rPr>
        <w:t>4.1.7 基金会财务信息，包括基金会年度审计报告、年度预决算报告、年度工作报告、捐赠收入、公益事业支出、总资产、净资产、总收入、投资收益、总支出、工资福利支出、行政办公支出、业务活动成本、管理费用等；</w:t>
      </w:r>
    </w:p>
    <w:p>
      <w:pPr>
        <w:spacing w:line="360" w:lineRule="auto"/>
        <w:ind w:firstLine="480" w:firstLineChars="200"/>
        <w:rPr>
          <w:sz w:val="24"/>
          <w:szCs w:val="24"/>
        </w:rPr>
      </w:pPr>
      <w:r>
        <w:rPr>
          <w:rFonts w:hint="eastAsia"/>
          <w:sz w:val="24"/>
          <w:szCs w:val="24"/>
        </w:rPr>
        <w:t>4.1.8捐赠及内部建设信息，包括基金会捐赠方信息、主要捐赠人信息、人事管理制度、财务管理制度、项目管理制度、年度工作报告等；</w:t>
      </w:r>
    </w:p>
    <w:p>
      <w:pPr>
        <w:spacing w:line="360" w:lineRule="auto"/>
        <w:ind w:firstLine="480" w:firstLineChars="200"/>
        <w:rPr>
          <w:sz w:val="24"/>
          <w:szCs w:val="24"/>
        </w:rPr>
      </w:pPr>
      <w:r>
        <w:rPr>
          <w:rFonts w:hint="eastAsia"/>
          <w:sz w:val="24"/>
          <w:szCs w:val="24"/>
        </w:rPr>
        <w:t>4.1.9基金会各分支机构、专项基金相关情况；</w:t>
      </w:r>
    </w:p>
    <w:p>
      <w:pPr>
        <w:spacing w:line="360" w:lineRule="auto"/>
        <w:ind w:firstLine="480" w:firstLineChars="200"/>
        <w:rPr>
          <w:sz w:val="24"/>
          <w:szCs w:val="24"/>
        </w:rPr>
      </w:pPr>
      <w:r>
        <w:rPr>
          <w:rFonts w:hint="eastAsia"/>
          <w:sz w:val="24"/>
          <w:szCs w:val="24"/>
        </w:rPr>
        <w:t>4.</w:t>
      </w:r>
      <w:r>
        <w:rPr>
          <w:rFonts w:hint="eastAsia"/>
          <w:sz w:val="24"/>
          <w:szCs w:val="24"/>
          <w:lang w:val="en-US" w:eastAsia="zh-CN"/>
        </w:rPr>
        <w:t>1</w:t>
      </w:r>
      <w:r>
        <w:rPr>
          <w:rFonts w:hint="eastAsia"/>
          <w:sz w:val="24"/>
          <w:szCs w:val="24"/>
        </w:rPr>
        <w:t>.</w:t>
      </w:r>
      <w:r>
        <w:rPr>
          <w:rFonts w:hint="eastAsia"/>
          <w:sz w:val="24"/>
          <w:szCs w:val="24"/>
          <w:lang w:val="en-US" w:eastAsia="zh-CN"/>
        </w:rPr>
        <w:t>1</w:t>
      </w:r>
      <w:r>
        <w:rPr>
          <w:rFonts w:hint="eastAsia"/>
          <w:sz w:val="24"/>
          <w:szCs w:val="24"/>
        </w:rPr>
        <w:t>0基金会审批事项、审批依据、办理条件和咨询办法等；</w:t>
      </w:r>
    </w:p>
    <w:p>
      <w:pPr>
        <w:spacing w:line="360" w:lineRule="auto"/>
        <w:ind w:firstLine="480" w:firstLineChars="200"/>
        <w:rPr>
          <w:sz w:val="24"/>
          <w:szCs w:val="24"/>
        </w:rPr>
      </w:pPr>
      <w:r>
        <w:rPr>
          <w:rFonts w:hint="eastAsia"/>
          <w:sz w:val="24"/>
          <w:szCs w:val="24"/>
        </w:rPr>
        <w:t>4.</w:t>
      </w:r>
      <w:r>
        <w:rPr>
          <w:rFonts w:hint="eastAsia"/>
          <w:sz w:val="24"/>
          <w:szCs w:val="24"/>
          <w:lang w:val="en-US" w:eastAsia="zh-CN"/>
        </w:rPr>
        <w:t>1</w:t>
      </w:r>
      <w:r>
        <w:rPr>
          <w:rFonts w:hint="eastAsia"/>
          <w:sz w:val="24"/>
          <w:szCs w:val="24"/>
        </w:rPr>
        <w:t>.1</w:t>
      </w:r>
      <w:r>
        <w:rPr>
          <w:rFonts w:hint="eastAsia"/>
          <w:sz w:val="24"/>
          <w:szCs w:val="24"/>
          <w:lang w:val="en-US" w:eastAsia="zh-CN"/>
        </w:rPr>
        <w:t>1</w:t>
      </w:r>
      <w:r>
        <w:rPr>
          <w:rFonts w:hint="eastAsia"/>
          <w:sz w:val="24"/>
          <w:szCs w:val="24"/>
        </w:rPr>
        <w:t>基金会的成果与社会成效，包括基金会自行或资助开展的调查与研究报告、基金会项目评估报告、基金会评估报告等；</w:t>
      </w:r>
    </w:p>
    <w:p>
      <w:pPr>
        <w:spacing w:line="360" w:lineRule="auto"/>
        <w:ind w:firstLine="480" w:firstLineChars="200"/>
        <w:rPr>
          <w:sz w:val="24"/>
          <w:szCs w:val="24"/>
        </w:rPr>
      </w:pPr>
      <w:r>
        <w:rPr>
          <w:rFonts w:hint="eastAsia"/>
          <w:sz w:val="24"/>
          <w:szCs w:val="24"/>
        </w:rPr>
        <w:t>4.</w:t>
      </w:r>
      <w:r>
        <w:rPr>
          <w:rFonts w:hint="eastAsia"/>
          <w:sz w:val="24"/>
          <w:szCs w:val="24"/>
          <w:lang w:val="en-US" w:eastAsia="zh-CN"/>
        </w:rPr>
        <w:t>1</w:t>
      </w:r>
      <w:r>
        <w:rPr>
          <w:rFonts w:hint="eastAsia"/>
          <w:sz w:val="24"/>
          <w:szCs w:val="24"/>
        </w:rPr>
        <w:t>.</w:t>
      </w:r>
      <w:r>
        <w:rPr>
          <w:rFonts w:hint="eastAsia"/>
          <w:sz w:val="24"/>
          <w:szCs w:val="24"/>
          <w:lang w:val="en-US" w:eastAsia="zh-CN"/>
        </w:rPr>
        <w:t>1</w:t>
      </w:r>
      <w:r>
        <w:rPr>
          <w:rFonts w:hint="eastAsia"/>
          <w:sz w:val="24"/>
          <w:szCs w:val="24"/>
        </w:rPr>
        <w:t>2其他需要公开的信息。</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 信息公开渠道</w:t>
      </w:r>
    </w:p>
    <w:p>
      <w:pPr>
        <w:spacing w:line="360" w:lineRule="auto"/>
        <w:ind w:firstLine="480" w:firstLineChars="200"/>
        <w:rPr>
          <w:sz w:val="24"/>
          <w:szCs w:val="24"/>
        </w:rPr>
      </w:pPr>
      <w:r>
        <w:rPr>
          <w:rFonts w:hint="eastAsia"/>
          <w:sz w:val="24"/>
          <w:szCs w:val="24"/>
        </w:rPr>
        <w:t>5.1 基金会信息公开渠道包括指定渠道与自有渠道。</w:t>
      </w:r>
    </w:p>
    <w:p>
      <w:pPr>
        <w:spacing w:line="360" w:lineRule="auto"/>
        <w:ind w:firstLine="480" w:firstLineChars="200"/>
        <w:rPr>
          <w:sz w:val="24"/>
          <w:szCs w:val="24"/>
        </w:rPr>
      </w:pPr>
      <w:r>
        <w:rPr>
          <w:rFonts w:hint="eastAsia"/>
          <w:sz w:val="24"/>
          <w:szCs w:val="24"/>
        </w:rPr>
        <w:t>5</w:t>
      </w:r>
      <w:r>
        <w:rPr>
          <w:sz w:val="24"/>
          <w:szCs w:val="24"/>
        </w:rPr>
        <w:t>.2</w:t>
      </w:r>
      <w:r>
        <w:rPr>
          <w:rFonts w:hint="eastAsia"/>
          <w:sz w:val="24"/>
          <w:szCs w:val="24"/>
        </w:rPr>
        <w:t>基金会信息必须按政府部门指定“慈善中国”网站披露信息；</w:t>
      </w:r>
    </w:p>
    <w:p>
      <w:pPr>
        <w:spacing w:line="360" w:lineRule="auto"/>
        <w:ind w:firstLine="480" w:firstLineChars="200"/>
        <w:rPr>
          <w:sz w:val="24"/>
          <w:szCs w:val="24"/>
        </w:rPr>
      </w:pPr>
      <w:r>
        <w:rPr>
          <w:rFonts w:hint="eastAsia"/>
          <w:sz w:val="24"/>
          <w:szCs w:val="24"/>
        </w:rPr>
        <w:t>5.3 基金会信息公开自有渠道包括：</w:t>
      </w:r>
    </w:p>
    <w:p>
      <w:pPr>
        <w:spacing w:line="360" w:lineRule="auto"/>
        <w:ind w:firstLine="480" w:firstLineChars="200"/>
        <w:rPr>
          <w:sz w:val="24"/>
          <w:szCs w:val="24"/>
          <w:highlight w:val="yellow"/>
        </w:rPr>
      </w:pPr>
      <w:r>
        <w:rPr>
          <w:rFonts w:hint="eastAsia"/>
          <w:sz w:val="24"/>
          <w:szCs w:val="24"/>
          <w:highlight w:val="none"/>
        </w:rPr>
        <w:t>5.3.1基金会官方网站</w:t>
      </w:r>
      <w:r>
        <w:rPr>
          <w:rFonts w:hint="eastAsia"/>
          <w:sz w:val="24"/>
          <w:szCs w:val="24"/>
          <w:highlight w:val="none"/>
          <w:lang w:eastAsia="zh-CN"/>
        </w:rPr>
        <w:t>（</w:t>
      </w:r>
      <w:r>
        <w:rPr>
          <w:rFonts w:hint="eastAsia"/>
          <w:sz w:val="24"/>
          <w:szCs w:val="24"/>
          <w:highlight w:val="none"/>
        </w:rPr>
        <w:t>http://www.culturescn.com/info-30.html</w:t>
      </w:r>
      <w:r>
        <w:rPr>
          <w:rFonts w:hint="eastAsia"/>
          <w:sz w:val="24"/>
          <w:szCs w:val="24"/>
          <w:highlight w:val="none"/>
          <w:lang w:eastAsia="zh-CN"/>
        </w:rPr>
        <w:t>）</w:t>
      </w:r>
      <w:r>
        <w:rPr>
          <w:rFonts w:hint="eastAsia"/>
          <w:sz w:val="24"/>
          <w:szCs w:val="24"/>
          <w:highlight w:val="none"/>
        </w:rPr>
        <w:t>是信息公开的主要渠道之一，分别开发与建设网站的个人电脑版和手机版，并有效运营；</w:t>
      </w:r>
    </w:p>
    <w:p>
      <w:pPr>
        <w:spacing w:line="360" w:lineRule="auto"/>
        <w:ind w:firstLine="480" w:firstLineChars="200"/>
        <w:rPr>
          <w:sz w:val="24"/>
          <w:szCs w:val="24"/>
          <w:highlight w:val="yellow"/>
        </w:rPr>
      </w:pPr>
      <w:r>
        <w:rPr>
          <w:rFonts w:hint="eastAsia"/>
          <w:sz w:val="24"/>
          <w:szCs w:val="24"/>
          <w:highlight w:val="none"/>
        </w:rPr>
        <w:t>5.3.2 基金会官方微信。开发建设并运营基金会的微信，并有效运营。</w:t>
      </w:r>
    </w:p>
    <w:p>
      <w:pPr>
        <w:spacing w:line="360" w:lineRule="auto"/>
        <w:ind w:firstLine="480" w:firstLineChars="200"/>
        <w:rPr>
          <w:sz w:val="24"/>
          <w:szCs w:val="24"/>
        </w:rPr>
      </w:pPr>
      <w:r>
        <w:rPr>
          <w:rFonts w:hint="eastAsia"/>
          <w:sz w:val="24"/>
          <w:szCs w:val="24"/>
        </w:rPr>
        <w:t>5.3.3 基金会出版物，包括年度报告、季度报告和通讯等。</w:t>
      </w:r>
    </w:p>
    <w:p>
      <w:pPr>
        <w:spacing w:line="360" w:lineRule="auto"/>
        <w:ind w:firstLine="480" w:firstLineChars="200"/>
        <w:rPr>
          <w:rFonts w:hint="eastAsia" w:eastAsiaTheme="minorEastAsia"/>
          <w:sz w:val="24"/>
          <w:szCs w:val="24"/>
          <w:lang w:eastAsia="zh-CN"/>
        </w:rPr>
      </w:pPr>
      <w:r>
        <w:rPr>
          <w:rFonts w:hint="eastAsia"/>
          <w:sz w:val="24"/>
          <w:szCs w:val="24"/>
        </w:rPr>
        <w:t>5.3.4公益组织行业性信息公开平台，包括基金会中心网等</w:t>
      </w:r>
      <w:r>
        <w:rPr>
          <w:rFonts w:hint="eastAsia"/>
          <w:sz w:val="24"/>
          <w:szCs w:val="24"/>
          <w:lang w:eastAsia="zh-CN"/>
        </w:rPr>
        <w:t>。</w:t>
      </w:r>
    </w:p>
    <w:p>
      <w:pPr>
        <w:spacing w:line="360" w:lineRule="auto"/>
        <w:ind w:firstLine="480" w:firstLineChars="200"/>
        <w:rPr>
          <w:sz w:val="24"/>
          <w:szCs w:val="24"/>
        </w:rPr>
      </w:pPr>
      <w:r>
        <w:rPr>
          <w:rFonts w:hint="eastAsia"/>
          <w:sz w:val="24"/>
          <w:szCs w:val="24"/>
        </w:rPr>
        <w:t>5.3.5大众传媒渠道，包括报纸、网站、电视等渠道。</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6．信息公开时限及方式</w:t>
      </w:r>
    </w:p>
    <w:p>
      <w:pPr>
        <w:spacing w:line="360" w:lineRule="auto"/>
        <w:ind w:firstLine="480" w:firstLineChars="200"/>
        <w:rPr>
          <w:sz w:val="24"/>
          <w:szCs w:val="24"/>
        </w:rPr>
      </w:pPr>
      <w:r>
        <w:rPr>
          <w:rFonts w:hint="eastAsia"/>
          <w:sz w:val="24"/>
          <w:szCs w:val="24"/>
        </w:rPr>
        <w:t>4.1 本基金会日常项目与活动信息应在事件/活动发生</w:t>
      </w:r>
      <w:r>
        <w:rPr>
          <w:rFonts w:hint="eastAsia"/>
          <w:sz w:val="24"/>
          <w:szCs w:val="24"/>
          <w:lang w:val="en-US" w:eastAsia="zh-CN"/>
        </w:rPr>
        <w:t>起3日内</w:t>
      </w:r>
      <w:r>
        <w:rPr>
          <w:rFonts w:hint="eastAsia"/>
          <w:sz w:val="24"/>
          <w:szCs w:val="24"/>
        </w:rPr>
        <w:t>公开相关信息；重大事件信息应在本基金会知晓信息后的4</w:t>
      </w:r>
      <w:r>
        <w:rPr>
          <w:rFonts w:hint="eastAsia"/>
          <w:sz w:val="24"/>
          <w:szCs w:val="24"/>
          <w:lang w:val="en-US" w:eastAsia="zh-CN"/>
        </w:rPr>
        <w:t>8</w:t>
      </w:r>
      <w:r>
        <w:rPr>
          <w:rFonts w:hint="eastAsia"/>
          <w:sz w:val="24"/>
          <w:szCs w:val="24"/>
        </w:rPr>
        <w:t>小时内披露相关信息。</w:t>
      </w:r>
    </w:p>
    <w:p>
      <w:pPr>
        <w:spacing w:line="360" w:lineRule="auto"/>
        <w:ind w:firstLine="480" w:firstLineChars="200"/>
        <w:rPr>
          <w:sz w:val="24"/>
          <w:szCs w:val="24"/>
        </w:rPr>
      </w:pPr>
      <w:r>
        <w:rPr>
          <w:rFonts w:hint="eastAsia"/>
          <w:sz w:val="24"/>
          <w:szCs w:val="24"/>
        </w:rPr>
        <w:t>4.2 采取动态方式及时公开项目进展信息。一般应在捐赠款/物拨付后5个工作日内告知捐赠人/机构与合作伙伴并向社会披露，短期项目信息披露间隔时间不超过2个月，中长期项目信息披露间隔时间不应超过3个月。</w:t>
      </w:r>
    </w:p>
    <w:p>
      <w:pPr>
        <w:spacing w:line="360" w:lineRule="auto"/>
        <w:ind w:firstLine="480" w:firstLineChars="200"/>
        <w:rPr>
          <w:sz w:val="24"/>
          <w:szCs w:val="24"/>
        </w:rPr>
      </w:pPr>
      <w:r>
        <w:rPr>
          <w:rFonts w:hint="eastAsia"/>
          <w:sz w:val="24"/>
          <w:szCs w:val="24"/>
        </w:rPr>
        <w:t>4.3 本基金会年度财务工作报告应在民政部门年审后的5个工作日内对外披露或按公益慈善组织登记管理机关的要求披露。</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7. 信息公开实施办法</w:t>
      </w:r>
    </w:p>
    <w:p>
      <w:pPr>
        <w:spacing w:line="360" w:lineRule="auto"/>
        <w:ind w:firstLine="480" w:firstLineChars="200"/>
        <w:rPr>
          <w:sz w:val="24"/>
          <w:szCs w:val="24"/>
        </w:rPr>
      </w:pPr>
      <w:r>
        <w:rPr>
          <w:rFonts w:hint="eastAsia"/>
          <w:sz w:val="24"/>
          <w:szCs w:val="24"/>
        </w:rPr>
        <w:t>7.1 信息公开由业务部门与责任部门共同负责完成，业务部门（包括项目管理部、财务管理部等）负责提供信息公开素材，信息公开责任部门为综合管理部，指定人员负责信息公开的发布与后续反馈的搜集及整理。</w:t>
      </w:r>
    </w:p>
    <w:p>
      <w:pPr>
        <w:spacing w:line="360" w:lineRule="auto"/>
        <w:ind w:firstLine="480" w:firstLineChars="200"/>
        <w:rPr>
          <w:sz w:val="24"/>
          <w:szCs w:val="24"/>
        </w:rPr>
      </w:pPr>
      <w:r>
        <w:rPr>
          <w:rFonts w:hint="eastAsia"/>
          <w:sz w:val="24"/>
          <w:szCs w:val="24"/>
        </w:rPr>
        <w:t>7.2 信息公开资料需保存留档，以备查验。留档资料包括项目宣传新闻稿件、项目重要信息公示页面等。</w:t>
      </w:r>
    </w:p>
    <w:p>
      <w:pPr>
        <w:spacing w:line="360" w:lineRule="auto"/>
        <w:ind w:firstLine="480" w:firstLineChars="200"/>
        <w:rPr>
          <w:sz w:val="24"/>
          <w:szCs w:val="24"/>
        </w:rPr>
      </w:pPr>
      <w:r>
        <w:rPr>
          <w:rFonts w:hint="eastAsia"/>
          <w:sz w:val="24"/>
          <w:szCs w:val="24"/>
        </w:rPr>
        <w:t>7.3 基金会对信息公开实行定期评估与考核，以半年为期，即每半年考核一次各部分信息公开情况。</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8. 项目信息公开</w:t>
      </w:r>
    </w:p>
    <w:p>
      <w:pPr>
        <w:spacing w:line="360" w:lineRule="auto"/>
        <w:ind w:firstLine="480" w:firstLineChars="200"/>
        <w:rPr>
          <w:sz w:val="24"/>
          <w:szCs w:val="24"/>
        </w:rPr>
      </w:pPr>
      <w:r>
        <w:rPr>
          <w:rFonts w:hint="eastAsia"/>
          <w:sz w:val="24"/>
          <w:szCs w:val="24"/>
        </w:rPr>
        <w:t>8.1 项目信息公开是基金会信息公开的重要工作，基金会对此高度重视。</w:t>
      </w:r>
    </w:p>
    <w:p>
      <w:pPr>
        <w:spacing w:line="360" w:lineRule="auto"/>
        <w:ind w:firstLine="480" w:firstLineChars="200"/>
        <w:rPr>
          <w:sz w:val="24"/>
          <w:szCs w:val="24"/>
        </w:rPr>
      </w:pPr>
      <w:r>
        <w:rPr>
          <w:rFonts w:hint="eastAsia"/>
          <w:sz w:val="24"/>
          <w:szCs w:val="24"/>
        </w:rPr>
        <w:t>8.2 项目信息公开遵循全面、规范、透明的原则，项目从立项到结束的整个过程中的重要信息均需公示，并需按照统一公示模板进行，尤其是具有社会价值和行业的项目信息需要及时公示。</w:t>
      </w:r>
    </w:p>
    <w:p>
      <w:pPr>
        <w:spacing w:line="360" w:lineRule="auto"/>
        <w:ind w:firstLine="480" w:firstLineChars="200"/>
        <w:rPr>
          <w:sz w:val="24"/>
          <w:szCs w:val="24"/>
        </w:rPr>
      </w:pPr>
      <w:r>
        <w:rPr>
          <w:rFonts w:hint="eastAsia"/>
          <w:sz w:val="24"/>
          <w:szCs w:val="24"/>
        </w:rPr>
        <w:t>8.3 项目信息公开内容包括项目立项信息、项目实施过程信息、项目结项信息和项目成果信息四类。</w:t>
      </w:r>
    </w:p>
    <w:p>
      <w:pPr>
        <w:spacing w:line="360" w:lineRule="auto"/>
        <w:ind w:firstLine="480" w:firstLineChars="200"/>
        <w:rPr>
          <w:sz w:val="24"/>
          <w:szCs w:val="24"/>
        </w:rPr>
      </w:pPr>
      <w:r>
        <w:rPr>
          <w:rFonts w:hint="eastAsia"/>
          <w:sz w:val="24"/>
          <w:szCs w:val="24"/>
        </w:rPr>
        <w:t>8.3.1 项目立项：包括项目目标、项目内容、项目合作伙伴、项目开展计划等；</w:t>
      </w:r>
    </w:p>
    <w:p>
      <w:pPr>
        <w:spacing w:line="360" w:lineRule="auto"/>
        <w:ind w:firstLine="480" w:firstLineChars="200"/>
        <w:rPr>
          <w:sz w:val="24"/>
          <w:szCs w:val="24"/>
        </w:rPr>
      </w:pPr>
      <w:r>
        <w:rPr>
          <w:rFonts w:hint="eastAsia"/>
          <w:sz w:val="24"/>
          <w:szCs w:val="24"/>
        </w:rPr>
        <w:t>8.3.2 项目过程：包括项目开展过程中的重要活动、定期进展、重要事件等；</w:t>
      </w:r>
    </w:p>
    <w:p>
      <w:pPr>
        <w:spacing w:line="360" w:lineRule="auto"/>
        <w:ind w:firstLine="480" w:firstLineChars="200"/>
        <w:rPr>
          <w:sz w:val="24"/>
          <w:szCs w:val="24"/>
        </w:rPr>
      </w:pPr>
      <w:r>
        <w:rPr>
          <w:rFonts w:hint="eastAsia"/>
          <w:sz w:val="24"/>
          <w:szCs w:val="24"/>
        </w:rPr>
        <w:t>8.3.3 项目结项：包括项目结项报告、项目评估报告等；</w:t>
      </w:r>
    </w:p>
    <w:p>
      <w:pPr>
        <w:spacing w:line="360" w:lineRule="auto"/>
        <w:ind w:firstLine="480" w:firstLineChars="200"/>
        <w:rPr>
          <w:sz w:val="24"/>
          <w:szCs w:val="24"/>
        </w:rPr>
      </w:pPr>
      <w:r>
        <w:rPr>
          <w:rFonts w:hint="eastAsia"/>
          <w:sz w:val="24"/>
          <w:szCs w:val="24"/>
        </w:rPr>
        <w:t>8.3.4 项目成果：包括项目重要产出，如研究报告、媒体报道等；</w:t>
      </w:r>
    </w:p>
    <w:p>
      <w:pPr>
        <w:spacing w:line="360" w:lineRule="auto"/>
        <w:ind w:firstLine="480" w:firstLineChars="200"/>
        <w:rPr>
          <w:sz w:val="24"/>
          <w:szCs w:val="24"/>
        </w:rPr>
      </w:pPr>
      <w:r>
        <w:rPr>
          <w:rFonts w:hint="eastAsia"/>
          <w:sz w:val="24"/>
          <w:szCs w:val="24"/>
        </w:rPr>
        <w:t>8.4 项目信息公开办法</w:t>
      </w:r>
    </w:p>
    <w:p>
      <w:pPr>
        <w:spacing w:line="360" w:lineRule="auto"/>
        <w:ind w:firstLine="480" w:firstLineChars="200"/>
        <w:rPr>
          <w:sz w:val="24"/>
          <w:szCs w:val="24"/>
        </w:rPr>
      </w:pPr>
      <w:r>
        <w:rPr>
          <w:rFonts w:hint="eastAsia"/>
          <w:sz w:val="24"/>
          <w:szCs w:val="24"/>
        </w:rPr>
        <w:t>8.4.1 项目信息统一由基金会项目负责人搜集整理并提供给基金会信息发布负责人；</w:t>
      </w:r>
    </w:p>
    <w:p>
      <w:pPr>
        <w:spacing w:line="360" w:lineRule="auto"/>
        <w:ind w:firstLine="480" w:firstLineChars="200"/>
        <w:rPr>
          <w:sz w:val="24"/>
          <w:szCs w:val="24"/>
        </w:rPr>
      </w:pPr>
      <w:r>
        <w:rPr>
          <w:rFonts w:hint="eastAsia"/>
          <w:sz w:val="24"/>
          <w:szCs w:val="24"/>
        </w:rPr>
        <w:t>8.4.2 每个项目负责人需按照要求及时公开所负责项目信息；</w:t>
      </w:r>
    </w:p>
    <w:p>
      <w:pPr>
        <w:spacing w:line="360" w:lineRule="auto"/>
        <w:ind w:firstLine="480" w:firstLineChars="200"/>
        <w:rPr>
          <w:sz w:val="24"/>
          <w:szCs w:val="24"/>
        </w:rPr>
      </w:pPr>
      <w:r>
        <w:rPr>
          <w:rFonts w:hint="eastAsia"/>
          <w:sz w:val="24"/>
          <w:szCs w:val="24"/>
        </w:rPr>
        <w:t>8.4.3 项目重大信息公示需由基金会秘书长审核同意后实施。</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9．重大事件信息公开</w:t>
      </w:r>
    </w:p>
    <w:p>
      <w:pPr>
        <w:spacing w:line="360" w:lineRule="auto"/>
        <w:ind w:firstLine="480" w:firstLineChars="200"/>
        <w:rPr>
          <w:sz w:val="24"/>
          <w:szCs w:val="24"/>
        </w:rPr>
      </w:pPr>
      <w:r>
        <w:rPr>
          <w:rFonts w:hint="eastAsia"/>
          <w:sz w:val="24"/>
          <w:szCs w:val="24"/>
        </w:rPr>
        <w:t>9.1. 重大事件包括基金会重大项目或活动、媒体集中关注事件等事关基金会声誉、具有较大社会影响力的事件。</w:t>
      </w:r>
    </w:p>
    <w:p>
      <w:pPr>
        <w:spacing w:line="360" w:lineRule="auto"/>
        <w:ind w:firstLine="480" w:firstLineChars="200"/>
        <w:rPr>
          <w:sz w:val="24"/>
          <w:szCs w:val="24"/>
        </w:rPr>
      </w:pPr>
      <w:r>
        <w:rPr>
          <w:rFonts w:hint="eastAsia"/>
          <w:sz w:val="24"/>
          <w:szCs w:val="24"/>
        </w:rPr>
        <w:t>9.2 重大事件信息公示需在基金会理事长和执行秘书长全面带领下进行，制定公示办法，全员配合与支持。</w:t>
      </w:r>
    </w:p>
    <w:p>
      <w:pPr>
        <w:spacing w:line="360" w:lineRule="auto"/>
        <w:ind w:firstLine="480" w:firstLineChars="200"/>
        <w:rPr>
          <w:sz w:val="24"/>
          <w:szCs w:val="24"/>
        </w:rPr>
      </w:pPr>
      <w:r>
        <w:rPr>
          <w:rFonts w:hint="eastAsia"/>
          <w:sz w:val="24"/>
          <w:szCs w:val="24"/>
        </w:rPr>
        <w:t>9.3.重大事件信息公示需安排专门信息公示人，由公示人负责统一公示，其他人不得擅自发布信息。</w:t>
      </w:r>
    </w:p>
    <w:p>
      <w:pPr>
        <w:spacing w:line="360" w:lineRule="auto"/>
        <w:ind w:firstLine="480" w:firstLineChars="200"/>
        <w:rPr>
          <w:sz w:val="24"/>
          <w:szCs w:val="24"/>
        </w:rPr>
      </w:pPr>
      <w:r>
        <w:rPr>
          <w:rFonts w:hint="eastAsia"/>
          <w:sz w:val="24"/>
          <w:szCs w:val="24"/>
        </w:rPr>
        <w:t>9.4 重大事件信息公示需遵循快速、主动、准确、统一的原则，有序进行。</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10．附则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r>
        <w:rPr>
          <w:sz w:val="24"/>
          <w:szCs w:val="24"/>
        </w:rPr>
        <w:t xml:space="preserve"> </w:t>
      </w:r>
    </w:p>
    <w:p>
      <w:pPr>
        <w:spacing w:line="360" w:lineRule="auto"/>
        <w:rPr>
          <w:sz w:val="24"/>
          <w:szCs w:val="24"/>
        </w:rPr>
      </w:pPr>
    </w:p>
    <w:p>
      <w:pPr>
        <w:spacing w:line="360" w:lineRule="auto"/>
        <w:rPr>
          <w:sz w:val="24"/>
          <w:szCs w:val="24"/>
        </w:rPr>
      </w:pPr>
    </w:p>
    <w:p>
      <w:pPr>
        <w:spacing w:before="156" w:beforeLines="50" w:after="156" w:afterLines="50" w:line="360" w:lineRule="auto"/>
        <w:jc w:val="center"/>
        <w:outlineLvl w:val="1"/>
        <w:rPr>
          <w:rFonts w:ascii="黑体" w:hAnsi="黑体" w:eastAsia="黑体"/>
          <w:b/>
          <w:sz w:val="32"/>
          <w:szCs w:val="32"/>
        </w:rPr>
      </w:pPr>
      <w:bookmarkStart w:id="16" w:name="_Toc19531"/>
      <w:bookmarkStart w:id="17" w:name="_Toc403829182"/>
      <w:r>
        <w:rPr>
          <w:rFonts w:hint="eastAsia" w:ascii="黑体" w:hAnsi="黑体" w:eastAsia="黑体"/>
          <w:b/>
          <w:sz w:val="32"/>
          <w:szCs w:val="32"/>
        </w:rPr>
        <w:t xml:space="preserve">九 </w:t>
      </w:r>
      <w:r>
        <w:rPr>
          <w:rFonts w:hint="eastAsia" w:ascii="黑体" w:hAnsi="黑体" w:eastAsia="黑体"/>
          <w:b/>
          <w:sz w:val="32"/>
          <w:szCs w:val="32"/>
          <w:lang w:eastAsia="zh-CN"/>
        </w:rPr>
        <w:t>北京天地文化发展</w:t>
      </w:r>
      <w:r>
        <w:rPr>
          <w:rFonts w:hint="eastAsia" w:ascii="黑体" w:hAnsi="黑体" w:eastAsia="黑体"/>
          <w:b/>
          <w:sz w:val="32"/>
          <w:szCs w:val="32"/>
        </w:rPr>
        <w:t>基金会会议管理制度</w:t>
      </w:r>
      <w:bookmarkEnd w:id="16"/>
      <w:bookmarkEnd w:id="17"/>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 为了认真落实国务院《中华人民共和国慈善法》、《基金会管理条例》，使</w:t>
      </w:r>
      <w:r>
        <w:rPr>
          <w:rFonts w:hint="eastAsia"/>
          <w:sz w:val="24"/>
          <w:szCs w:val="24"/>
          <w:lang w:eastAsia="zh-CN"/>
        </w:rPr>
        <w:t>北京天地文化发展</w:t>
      </w:r>
      <w:r>
        <w:rPr>
          <w:rFonts w:hint="eastAsia"/>
          <w:sz w:val="24"/>
          <w:szCs w:val="24"/>
        </w:rPr>
        <w:t>基金会（以下简称“本基金会”）内部管理工作更加规范化、制度化、科学化，按照《</w:t>
      </w:r>
      <w:r>
        <w:rPr>
          <w:rFonts w:hint="eastAsia"/>
          <w:sz w:val="24"/>
          <w:szCs w:val="24"/>
          <w:lang w:eastAsia="zh-CN"/>
        </w:rPr>
        <w:t>北京天地文化发展</w:t>
      </w:r>
      <w:r>
        <w:rPr>
          <w:rFonts w:hint="eastAsia"/>
          <w:sz w:val="24"/>
          <w:szCs w:val="24"/>
        </w:rPr>
        <w:t>基金会章程》，特制定本基金会会议管理制度。</w:t>
      </w:r>
    </w:p>
    <w:p>
      <w:pPr>
        <w:spacing w:line="360" w:lineRule="auto"/>
        <w:ind w:firstLine="480" w:firstLineChars="200"/>
        <w:rPr>
          <w:sz w:val="24"/>
          <w:szCs w:val="24"/>
        </w:rPr>
      </w:pPr>
      <w:r>
        <w:rPr>
          <w:rFonts w:hint="eastAsia"/>
          <w:sz w:val="24"/>
          <w:szCs w:val="24"/>
        </w:rPr>
        <w:t>1.2 本基金会会议分为外部会议和内部会议两大类，分别由不同部门负责组织和实施：</w:t>
      </w:r>
    </w:p>
    <w:p>
      <w:pPr>
        <w:spacing w:line="360" w:lineRule="auto"/>
        <w:ind w:firstLine="480" w:firstLineChars="200"/>
        <w:rPr>
          <w:sz w:val="24"/>
          <w:szCs w:val="24"/>
        </w:rPr>
      </w:pPr>
      <w:r>
        <w:rPr>
          <w:rFonts w:hint="eastAsia"/>
          <w:sz w:val="24"/>
          <w:szCs w:val="24"/>
        </w:rPr>
        <w:t>1.2.1 外部会议由主导部门进行实地考察、布置、现场管理，如需综合管理部协调、协助，可提前联络以作对应；</w:t>
      </w:r>
    </w:p>
    <w:p>
      <w:pPr>
        <w:spacing w:line="360" w:lineRule="auto"/>
        <w:ind w:firstLine="480" w:firstLineChars="200"/>
        <w:rPr>
          <w:sz w:val="24"/>
          <w:szCs w:val="24"/>
        </w:rPr>
      </w:pPr>
      <w:r>
        <w:rPr>
          <w:rFonts w:hint="eastAsia"/>
          <w:sz w:val="24"/>
          <w:szCs w:val="24"/>
        </w:rPr>
        <w:t>1.2.2 内部会议由综合管理部或各部门行政人员统筹组织与安排；</w:t>
      </w:r>
    </w:p>
    <w:p>
      <w:pPr>
        <w:spacing w:line="360" w:lineRule="auto"/>
        <w:ind w:firstLine="480" w:firstLineChars="200"/>
        <w:rPr>
          <w:sz w:val="24"/>
          <w:szCs w:val="24"/>
        </w:rPr>
      </w:pPr>
      <w:r>
        <w:rPr>
          <w:rFonts w:hint="eastAsia"/>
          <w:sz w:val="24"/>
          <w:szCs w:val="24"/>
        </w:rPr>
        <w:t>1.2.3 各职能部门专题会议，由所属部门自行规划安排，如需综合管理部协调，可提前联络以作对应。</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2．会议管理的目的</w:t>
      </w:r>
    </w:p>
    <w:p>
      <w:pPr>
        <w:spacing w:line="360" w:lineRule="auto"/>
        <w:ind w:firstLine="480" w:firstLineChars="200"/>
        <w:rPr>
          <w:sz w:val="24"/>
          <w:szCs w:val="24"/>
        </w:rPr>
      </w:pPr>
      <w:r>
        <w:rPr>
          <w:rFonts w:hint="eastAsia"/>
          <w:sz w:val="24"/>
          <w:szCs w:val="24"/>
        </w:rPr>
        <w:t>2.1实现有效管理，促进本基金会上下的沟通与合作；</w:t>
      </w:r>
    </w:p>
    <w:p>
      <w:pPr>
        <w:spacing w:line="360" w:lineRule="auto"/>
        <w:ind w:firstLine="480" w:firstLineChars="200"/>
        <w:rPr>
          <w:sz w:val="24"/>
          <w:szCs w:val="24"/>
        </w:rPr>
      </w:pPr>
      <w:r>
        <w:rPr>
          <w:rFonts w:hint="eastAsia"/>
          <w:sz w:val="24"/>
          <w:szCs w:val="24"/>
        </w:rPr>
        <w:t>2.2提高员工执行工作目标的效率，跟进员工工作进度；</w:t>
      </w:r>
    </w:p>
    <w:p>
      <w:pPr>
        <w:spacing w:line="360" w:lineRule="auto"/>
        <w:ind w:firstLine="480" w:firstLineChars="200"/>
        <w:rPr>
          <w:sz w:val="24"/>
          <w:szCs w:val="24"/>
        </w:rPr>
      </w:pPr>
      <w:r>
        <w:rPr>
          <w:rFonts w:hint="eastAsia"/>
          <w:sz w:val="24"/>
          <w:szCs w:val="24"/>
        </w:rPr>
        <w:t>2.3集思广益，提出改进性的工作方案；</w:t>
      </w:r>
    </w:p>
    <w:p>
      <w:pPr>
        <w:spacing w:line="360" w:lineRule="auto"/>
        <w:ind w:firstLine="480" w:firstLineChars="200"/>
        <w:rPr>
          <w:sz w:val="24"/>
          <w:szCs w:val="24"/>
        </w:rPr>
      </w:pPr>
      <w:r>
        <w:rPr>
          <w:rFonts w:hint="eastAsia"/>
          <w:sz w:val="24"/>
          <w:szCs w:val="24"/>
        </w:rPr>
        <w:t>2.4协调员工的工作方法、工作进度及人员调配；</w:t>
      </w:r>
    </w:p>
    <w:p>
      <w:pPr>
        <w:spacing w:line="360" w:lineRule="auto"/>
        <w:ind w:firstLine="480" w:firstLineChars="200"/>
        <w:rPr>
          <w:rFonts w:hint="eastAsia" w:eastAsiaTheme="minorEastAsia"/>
          <w:sz w:val="24"/>
          <w:szCs w:val="24"/>
          <w:lang w:eastAsia="zh-CN"/>
        </w:rPr>
      </w:pPr>
      <w:r>
        <w:rPr>
          <w:rFonts w:hint="eastAsia"/>
          <w:sz w:val="24"/>
          <w:szCs w:val="24"/>
        </w:rPr>
        <w:t>2.5形成规范制度，实现机构的可持续发展</w:t>
      </w:r>
      <w:r>
        <w:rPr>
          <w:rFonts w:hint="eastAsia"/>
          <w:sz w:val="24"/>
          <w:szCs w:val="24"/>
          <w:lang w:eastAsia="zh-CN"/>
        </w:rPr>
        <w:t>。</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 内部会议的分类</w:t>
      </w:r>
    </w:p>
    <w:p>
      <w:pPr>
        <w:spacing w:line="360" w:lineRule="auto"/>
        <w:ind w:firstLine="482" w:firstLineChars="200"/>
        <w:rPr>
          <w:b/>
          <w:sz w:val="24"/>
          <w:szCs w:val="24"/>
        </w:rPr>
      </w:pPr>
      <w:r>
        <w:rPr>
          <w:rFonts w:hint="eastAsia"/>
          <w:b/>
          <w:sz w:val="24"/>
          <w:szCs w:val="24"/>
        </w:rPr>
        <w:t>第一类：法定会议</w:t>
      </w:r>
    </w:p>
    <w:p>
      <w:pPr>
        <w:spacing w:line="360" w:lineRule="auto"/>
        <w:ind w:firstLine="480" w:firstLineChars="200"/>
        <w:rPr>
          <w:sz w:val="24"/>
          <w:szCs w:val="24"/>
        </w:rPr>
      </w:pPr>
      <w:r>
        <w:rPr>
          <w:rFonts w:hint="eastAsia"/>
          <w:sz w:val="24"/>
          <w:szCs w:val="24"/>
        </w:rPr>
        <w:t>3.1理事会</w:t>
      </w:r>
    </w:p>
    <w:p>
      <w:pPr>
        <w:spacing w:line="360" w:lineRule="auto"/>
        <w:ind w:firstLine="480" w:firstLineChars="200"/>
        <w:rPr>
          <w:sz w:val="24"/>
          <w:szCs w:val="24"/>
        </w:rPr>
      </w:pPr>
      <w:r>
        <w:rPr>
          <w:rFonts w:hint="eastAsia"/>
          <w:sz w:val="24"/>
          <w:szCs w:val="24"/>
        </w:rPr>
        <w:t>3.1.1会议主持人：理事长；</w:t>
      </w:r>
    </w:p>
    <w:p>
      <w:pPr>
        <w:spacing w:line="360" w:lineRule="auto"/>
        <w:ind w:firstLine="480" w:firstLineChars="200"/>
        <w:rPr>
          <w:sz w:val="24"/>
          <w:szCs w:val="24"/>
        </w:rPr>
      </w:pPr>
      <w:r>
        <w:rPr>
          <w:rFonts w:hint="eastAsia"/>
          <w:sz w:val="24"/>
          <w:szCs w:val="24"/>
        </w:rPr>
        <w:t>3.1.2会议参加人：理事会全体成员；</w:t>
      </w:r>
    </w:p>
    <w:p>
      <w:pPr>
        <w:spacing w:line="360" w:lineRule="auto"/>
        <w:ind w:firstLine="480" w:firstLineChars="200"/>
        <w:rPr>
          <w:sz w:val="24"/>
          <w:szCs w:val="24"/>
        </w:rPr>
      </w:pPr>
      <w:r>
        <w:rPr>
          <w:rFonts w:hint="eastAsia"/>
          <w:sz w:val="24"/>
          <w:szCs w:val="24"/>
        </w:rPr>
        <w:t>3.1.3列席人员：根据需要通知相关与会人员；</w:t>
      </w:r>
    </w:p>
    <w:p>
      <w:pPr>
        <w:spacing w:line="360" w:lineRule="auto"/>
        <w:ind w:firstLine="480" w:firstLineChars="200"/>
        <w:rPr>
          <w:sz w:val="24"/>
          <w:szCs w:val="24"/>
        </w:rPr>
      </w:pPr>
      <w:r>
        <w:rPr>
          <w:rFonts w:hint="eastAsia"/>
          <w:sz w:val="24"/>
          <w:szCs w:val="24"/>
        </w:rPr>
        <w:t>3.1.4会议须有全体理事的二分之一以上出席方可开会，会议决议须有出席会议，理事一半以上通过方可生效；</w:t>
      </w:r>
    </w:p>
    <w:p>
      <w:pPr>
        <w:spacing w:line="360" w:lineRule="auto"/>
        <w:ind w:firstLine="480" w:firstLineChars="200"/>
        <w:rPr>
          <w:sz w:val="24"/>
          <w:szCs w:val="24"/>
        </w:rPr>
      </w:pPr>
      <w:r>
        <w:rPr>
          <w:rFonts w:hint="eastAsia"/>
          <w:sz w:val="24"/>
          <w:szCs w:val="24"/>
        </w:rPr>
        <w:t>3.1.5会议内容：会议的议题、议程，由理事会确定；</w:t>
      </w:r>
    </w:p>
    <w:p>
      <w:pPr>
        <w:spacing w:line="360" w:lineRule="auto"/>
        <w:ind w:firstLine="480" w:firstLineChars="200"/>
        <w:rPr>
          <w:sz w:val="24"/>
          <w:szCs w:val="24"/>
        </w:rPr>
      </w:pPr>
      <w:r>
        <w:rPr>
          <w:rFonts w:hint="eastAsia"/>
          <w:sz w:val="24"/>
          <w:szCs w:val="24"/>
        </w:rPr>
        <w:t>3.1.6会议记录：会议秘书；</w:t>
      </w:r>
    </w:p>
    <w:p>
      <w:pPr>
        <w:spacing w:line="360" w:lineRule="auto"/>
        <w:ind w:firstLine="480" w:firstLineChars="200"/>
        <w:rPr>
          <w:sz w:val="24"/>
          <w:szCs w:val="24"/>
        </w:rPr>
      </w:pPr>
      <w:r>
        <w:rPr>
          <w:rFonts w:hint="eastAsia"/>
          <w:sz w:val="24"/>
          <w:szCs w:val="24"/>
        </w:rPr>
        <w:t>3.1.7会议时间：根据具体情况而定，一年至少两次。</w:t>
      </w:r>
    </w:p>
    <w:p>
      <w:pPr>
        <w:spacing w:line="360" w:lineRule="auto"/>
        <w:ind w:firstLine="482" w:firstLineChars="200"/>
        <w:rPr>
          <w:b/>
          <w:sz w:val="24"/>
          <w:szCs w:val="24"/>
        </w:rPr>
      </w:pPr>
      <w:r>
        <w:rPr>
          <w:rFonts w:hint="eastAsia"/>
          <w:b/>
          <w:sz w:val="24"/>
          <w:szCs w:val="24"/>
        </w:rPr>
        <w:t>第二类：运作管理类会议</w:t>
      </w:r>
    </w:p>
    <w:p>
      <w:pPr>
        <w:spacing w:line="360" w:lineRule="auto"/>
        <w:ind w:firstLine="480" w:firstLineChars="200"/>
        <w:rPr>
          <w:sz w:val="24"/>
          <w:szCs w:val="24"/>
        </w:rPr>
      </w:pPr>
      <w:r>
        <w:rPr>
          <w:rFonts w:hint="eastAsia"/>
          <w:sz w:val="24"/>
          <w:szCs w:val="24"/>
        </w:rPr>
        <w:t>3.2周工作例会</w:t>
      </w:r>
    </w:p>
    <w:p>
      <w:pPr>
        <w:spacing w:line="360" w:lineRule="auto"/>
        <w:ind w:firstLine="480" w:firstLineChars="200"/>
        <w:rPr>
          <w:sz w:val="24"/>
          <w:szCs w:val="24"/>
        </w:rPr>
      </w:pPr>
      <w:r>
        <w:rPr>
          <w:rFonts w:hint="eastAsia"/>
          <w:sz w:val="24"/>
          <w:szCs w:val="24"/>
        </w:rPr>
        <w:t>3.2.1会议主持人：根据实际情况而定；</w:t>
      </w:r>
    </w:p>
    <w:p>
      <w:pPr>
        <w:spacing w:line="360" w:lineRule="auto"/>
        <w:ind w:firstLine="480" w:firstLineChars="200"/>
        <w:rPr>
          <w:sz w:val="24"/>
          <w:szCs w:val="24"/>
        </w:rPr>
      </w:pPr>
      <w:r>
        <w:rPr>
          <w:rFonts w:hint="eastAsia"/>
          <w:sz w:val="24"/>
          <w:szCs w:val="24"/>
        </w:rPr>
        <w:t>3.2.2会议参加人：所有在岗人员；</w:t>
      </w:r>
    </w:p>
    <w:p>
      <w:pPr>
        <w:spacing w:line="360" w:lineRule="auto"/>
        <w:ind w:firstLine="480" w:firstLineChars="200"/>
        <w:rPr>
          <w:sz w:val="24"/>
          <w:szCs w:val="24"/>
        </w:rPr>
      </w:pPr>
      <w:r>
        <w:rPr>
          <w:rFonts w:hint="eastAsia"/>
          <w:sz w:val="24"/>
          <w:szCs w:val="24"/>
        </w:rPr>
        <w:t>3.2.3会议内容：</w:t>
      </w:r>
    </w:p>
    <w:p>
      <w:pPr>
        <w:spacing w:line="360" w:lineRule="auto"/>
        <w:ind w:firstLine="480" w:firstLineChars="200"/>
        <w:rPr>
          <w:sz w:val="24"/>
          <w:szCs w:val="24"/>
        </w:rPr>
      </w:pPr>
      <w:r>
        <w:rPr>
          <w:rFonts w:hint="eastAsia"/>
          <w:sz w:val="24"/>
          <w:szCs w:val="24"/>
        </w:rPr>
        <w:t>3.2.3.</w:t>
      </w:r>
      <w:r>
        <w:rPr>
          <w:rFonts w:hint="eastAsia"/>
          <w:sz w:val="24"/>
          <w:szCs w:val="24"/>
          <w:lang w:val="en-US" w:eastAsia="zh-CN"/>
        </w:rPr>
        <w:t>1</w:t>
      </w:r>
      <w:r>
        <w:rPr>
          <w:rFonts w:hint="eastAsia"/>
          <w:sz w:val="24"/>
          <w:szCs w:val="24"/>
        </w:rPr>
        <w:t>总结上周工作及完成情况；</w:t>
      </w:r>
    </w:p>
    <w:p>
      <w:pPr>
        <w:spacing w:line="360" w:lineRule="auto"/>
        <w:ind w:firstLine="480" w:firstLineChars="200"/>
        <w:rPr>
          <w:sz w:val="24"/>
          <w:szCs w:val="24"/>
        </w:rPr>
      </w:pPr>
      <w:r>
        <w:rPr>
          <w:rFonts w:hint="eastAsia"/>
          <w:sz w:val="24"/>
          <w:szCs w:val="24"/>
        </w:rPr>
        <w:t>3.2.3.2安排本周工作及计划；</w:t>
      </w:r>
    </w:p>
    <w:p>
      <w:pPr>
        <w:spacing w:line="360" w:lineRule="auto"/>
        <w:ind w:firstLine="480" w:firstLineChars="200"/>
        <w:rPr>
          <w:sz w:val="24"/>
          <w:szCs w:val="24"/>
        </w:rPr>
      </w:pPr>
      <w:r>
        <w:rPr>
          <w:rFonts w:hint="eastAsia"/>
          <w:sz w:val="24"/>
          <w:szCs w:val="24"/>
        </w:rPr>
        <w:t>3.2.3.3进行项目交流；</w:t>
      </w:r>
    </w:p>
    <w:p>
      <w:pPr>
        <w:spacing w:line="360" w:lineRule="auto"/>
        <w:ind w:firstLine="480" w:firstLineChars="200"/>
        <w:rPr>
          <w:sz w:val="24"/>
          <w:szCs w:val="24"/>
        </w:rPr>
      </w:pPr>
      <w:r>
        <w:rPr>
          <w:rFonts w:hint="eastAsia"/>
          <w:sz w:val="24"/>
          <w:szCs w:val="24"/>
        </w:rPr>
        <w:t>3.2.3.4员工对工作提出建议。</w:t>
      </w:r>
    </w:p>
    <w:p>
      <w:pPr>
        <w:spacing w:line="360" w:lineRule="auto"/>
        <w:ind w:firstLine="480" w:firstLineChars="200"/>
        <w:rPr>
          <w:sz w:val="24"/>
          <w:szCs w:val="24"/>
        </w:rPr>
      </w:pPr>
      <w:r>
        <w:rPr>
          <w:rFonts w:hint="eastAsia"/>
          <w:sz w:val="24"/>
          <w:szCs w:val="24"/>
        </w:rPr>
        <w:t>3.2.4会议记录：会议秘书</w:t>
      </w:r>
    </w:p>
    <w:p>
      <w:pPr>
        <w:spacing w:line="360" w:lineRule="auto"/>
        <w:ind w:firstLine="480" w:firstLineChars="200"/>
        <w:rPr>
          <w:sz w:val="24"/>
          <w:szCs w:val="24"/>
        </w:rPr>
      </w:pPr>
      <w:r>
        <w:rPr>
          <w:rFonts w:hint="eastAsia"/>
          <w:sz w:val="24"/>
          <w:szCs w:val="24"/>
        </w:rPr>
        <w:t>3.2.5会议时间：每周周一上午10：00。</w:t>
      </w:r>
    </w:p>
    <w:p>
      <w:pPr>
        <w:spacing w:line="360" w:lineRule="auto"/>
        <w:ind w:firstLine="480" w:firstLineChars="200"/>
        <w:rPr>
          <w:sz w:val="24"/>
          <w:szCs w:val="24"/>
        </w:rPr>
      </w:pPr>
      <w:r>
        <w:rPr>
          <w:rFonts w:hint="eastAsia"/>
          <w:sz w:val="24"/>
          <w:szCs w:val="24"/>
        </w:rPr>
        <w:t>3.3专题项目会议</w:t>
      </w:r>
    </w:p>
    <w:p>
      <w:pPr>
        <w:spacing w:line="360" w:lineRule="auto"/>
        <w:ind w:firstLine="480" w:firstLineChars="200"/>
        <w:rPr>
          <w:sz w:val="24"/>
          <w:szCs w:val="24"/>
        </w:rPr>
      </w:pPr>
      <w:r>
        <w:rPr>
          <w:rFonts w:hint="eastAsia"/>
          <w:sz w:val="24"/>
          <w:szCs w:val="24"/>
        </w:rPr>
        <w:t>3.3.1会议主持人：项目负责人；</w:t>
      </w:r>
    </w:p>
    <w:p>
      <w:pPr>
        <w:spacing w:line="360" w:lineRule="auto"/>
        <w:ind w:firstLine="480" w:firstLineChars="200"/>
        <w:rPr>
          <w:sz w:val="24"/>
          <w:szCs w:val="24"/>
        </w:rPr>
      </w:pPr>
      <w:r>
        <w:rPr>
          <w:rFonts w:hint="eastAsia"/>
          <w:sz w:val="24"/>
          <w:szCs w:val="24"/>
        </w:rPr>
        <w:t>3.3.2会议参加人：根据具体情况通知相关人员；</w:t>
      </w:r>
    </w:p>
    <w:p>
      <w:pPr>
        <w:spacing w:line="360" w:lineRule="auto"/>
        <w:ind w:firstLine="480" w:firstLineChars="200"/>
        <w:rPr>
          <w:sz w:val="24"/>
          <w:szCs w:val="24"/>
        </w:rPr>
      </w:pPr>
      <w:r>
        <w:rPr>
          <w:rFonts w:hint="eastAsia"/>
          <w:sz w:val="24"/>
          <w:szCs w:val="24"/>
        </w:rPr>
        <w:t>3.3.3会议内容：</w:t>
      </w:r>
    </w:p>
    <w:p>
      <w:pPr>
        <w:spacing w:line="360" w:lineRule="auto"/>
        <w:ind w:firstLine="480" w:firstLineChars="200"/>
        <w:rPr>
          <w:sz w:val="24"/>
          <w:szCs w:val="24"/>
        </w:rPr>
      </w:pPr>
      <w:r>
        <w:rPr>
          <w:rFonts w:hint="eastAsia"/>
          <w:sz w:val="24"/>
          <w:szCs w:val="24"/>
        </w:rPr>
        <w:t>3.3.3.1由项目负责人介绍项目，并安排任务；</w:t>
      </w:r>
    </w:p>
    <w:p>
      <w:pPr>
        <w:spacing w:line="360" w:lineRule="auto"/>
        <w:ind w:firstLine="480" w:firstLineChars="200"/>
        <w:rPr>
          <w:sz w:val="24"/>
          <w:szCs w:val="24"/>
        </w:rPr>
      </w:pPr>
      <w:r>
        <w:rPr>
          <w:rFonts w:hint="eastAsia"/>
          <w:sz w:val="24"/>
          <w:szCs w:val="24"/>
        </w:rPr>
        <w:t xml:space="preserve">3.3.3.2员工对项目提出建议。 </w:t>
      </w:r>
    </w:p>
    <w:p>
      <w:pPr>
        <w:spacing w:line="360" w:lineRule="auto"/>
        <w:ind w:firstLine="480" w:firstLineChars="200"/>
        <w:rPr>
          <w:sz w:val="24"/>
          <w:szCs w:val="24"/>
        </w:rPr>
      </w:pPr>
      <w:r>
        <w:rPr>
          <w:rFonts w:hint="eastAsia"/>
          <w:sz w:val="24"/>
          <w:szCs w:val="24"/>
        </w:rPr>
        <w:t>3.3.4会议记录：会议秘书</w:t>
      </w:r>
    </w:p>
    <w:p>
      <w:pPr>
        <w:spacing w:line="360" w:lineRule="auto"/>
        <w:ind w:firstLine="480" w:firstLineChars="200"/>
        <w:rPr>
          <w:sz w:val="24"/>
          <w:szCs w:val="24"/>
        </w:rPr>
      </w:pPr>
      <w:r>
        <w:rPr>
          <w:rFonts w:hint="eastAsia"/>
          <w:sz w:val="24"/>
          <w:szCs w:val="24"/>
        </w:rPr>
        <w:t>3.4月初工作计划会议</w:t>
      </w:r>
    </w:p>
    <w:p>
      <w:pPr>
        <w:spacing w:line="360" w:lineRule="auto"/>
        <w:ind w:firstLine="480" w:firstLineChars="200"/>
        <w:rPr>
          <w:sz w:val="24"/>
          <w:szCs w:val="24"/>
        </w:rPr>
      </w:pPr>
      <w:r>
        <w:rPr>
          <w:rFonts w:hint="eastAsia"/>
          <w:sz w:val="24"/>
          <w:szCs w:val="24"/>
        </w:rPr>
        <w:t>3.4.1会议主持人：根据实际情况而定；</w:t>
      </w:r>
    </w:p>
    <w:p>
      <w:pPr>
        <w:spacing w:line="360" w:lineRule="auto"/>
        <w:ind w:firstLine="480" w:firstLineChars="200"/>
        <w:rPr>
          <w:sz w:val="24"/>
          <w:szCs w:val="24"/>
        </w:rPr>
      </w:pPr>
      <w:r>
        <w:rPr>
          <w:rFonts w:hint="eastAsia"/>
          <w:sz w:val="24"/>
          <w:szCs w:val="24"/>
        </w:rPr>
        <w:t>3.4.2会议参加人：全体员工；</w:t>
      </w:r>
    </w:p>
    <w:p>
      <w:pPr>
        <w:spacing w:line="360" w:lineRule="auto"/>
        <w:ind w:firstLine="480" w:firstLineChars="200"/>
        <w:rPr>
          <w:sz w:val="24"/>
          <w:szCs w:val="24"/>
        </w:rPr>
      </w:pPr>
      <w:r>
        <w:rPr>
          <w:rFonts w:hint="eastAsia"/>
          <w:sz w:val="24"/>
          <w:szCs w:val="24"/>
        </w:rPr>
        <w:t>3.4.3会议内容：</w:t>
      </w:r>
    </w:p>
    <w:p>
      <w:pPr>
        <w:spacing w:line="360" w:lineRule="auto"/>
        <w:ind w:firstLine="480" w:firstLineChars="200"/>
        <w:rPr>
          <w:sz w:val="24"/>
          <w:szCs w:val="24"/>
        </w:rPr>
      </w:pPr>
      <w:r>
        <w:rPr>
          <w:rFonts w:hint="eastAsia"/>
          <w:sz w:val="24"/>
          <w:szCs w:val="24"/>
        </w:rPr>
        <w:t>3.4.3.1汇报与交流月度工作；</w:t>
      </w:r>
    </w:p>
    <w:p>
      <w:pPr>
        <w:spacing w:line="360" w:lineRule="auto"/>
        <w:ind w:firstLine="480" w:firstLineChars="200"/>
        <w:rPr>
          <w:sz w:val="24"/>
          <w:szCs w:val="24"/>
        </w:rPr>
      </w:pPr>
      <w:r>
        <w:rPr>
          <w:rFonts w:hint="eastAsia"/>
          <w:sz w:val="24"/>
          <w:szCs w:val="24"/>
        </w:rPr>
        <w:t>3.4.3.2总结上月工作；</w:t>
      </w:r>
    </w:p>
    <w:p>
      <w:pPr>
        <w:spacing w:line="360" w:lineRule="auto"/>
        <w:ind w:firstLine="480" w:firstLineChars="200"/>
        <w:rPr>
          <w:sz w:val="24"/>
          <w:szCs w:val="24"/>
        </w:rPr>
      </w:pPr>
      <w:r>
        <w:rPr>
          <w:rFonts w:hint="eastAsia"/>
          <w:sz w:val="24"/>
          <w:szCs w:val="24"/>
        </w:rPr>
        <w:t>3.4.3.3制订本月计划，进行相应的工作安排；</w:t>
      </w:r>
    </w:p>
    <w:p>
      <w:pPr>
        <w:spacing w:line="360" w:lineRule="auto"/>
        <w:ind w:firstLine="480" w:firstLineChars="200"/>
        <w:rPr>
          <w:sz w:val="24"/>
          <w:szCs w:val="24"/>
        </w:rPr>
      </w:pPr>
      <w:r>
        <w:rPr>
          <w:rFonts w:hint="eastAsia"/>
          <w:sz w:val="24"/>
          <w:szCs w:val="24"/>
        </w:rPr>
        <w:t>3.4.3.4集思广益，提出有利于基金会经营管理的方法和意见。</w:t>
      </w:r>
    </w:p>
    <w:p>
      <w:pPr>
        <w:spacing w:line="360" w:lineRule="auto"/>
        <w:ind w:firstLine="480" w:firstLineChars="200"/>
        <w:rPr>
          <w:sz w:val="24"/>
          <w:szCs w:val="24"/>
        </w:rPr>
      </w:pPr>
      <w:r>
        <w:rPr>
          <w:rFonts w:hint="eastAsia"/>
          <w:sz w:val="24"/>
          <w:szCs w:val="24"/>
        </w:rPr>
        <w:t>3.4.4会议记录：会议秘书</w:t>
      </w:r>
    </w:p>
    <w:p>
      <w:pPr>
        <w:spacing w:line="360" w:lineRule="auto"/>
        <w:ind w:firstLine="480" w:firstLineChars="200"/>
        <w:rPr>
          <w:sz w:val="24"/>
          <w:szCs w:val="24"/>
        </w:rPr>
      </w:pPr>
      <w:r>
        <w:rPr>
          <w:rFonts w:hint="eastAsia"/>
          <w:sz w:val="24"/>
          <w:szCs w:val="24"/>
        </w:rPr>
        <w:t>3.4.4会议时间：每月</w:t>
      </w:r>
      <w:r>
        <w:rPr>
          <w:rFonts w:hint="eastAsia"/>
          <w:sz w:val="24"/>
          <w:szCs w:val="24"/>
          <w:lang w:val="en-US" w:eastAsia="zh-CN"/>
        </w:rPr>
        <w:t>第一周周二</w:t>
      </w:r>
      <w:r>
        <w:rPr>
          <w:rFonts w:hint="eastAsia"/>
          <w:sz w:val="24"/>
          <w:szCs w:val="24"/>
        </w:rPr>
        <w:t>上午10：00。</w:t>
      </w:r>
    </w:p>
    <w:p>
      <w:pPr>
        <w:spacing w:line="360" w:lineRule="auto"/>
        <w:ind w:firstLine="480" w:firstLineChars="200"/>
        <w:rPr>
          <w:sz w:val="24"/>
          <w:szCs w:val="24"/>
        </w:rPr>
      </w:pPr>
      <w:r>
        <w:rPr>
          <w:rFonts w:hint="eastAsia"/>
          <w:sz w:val="24"/>
          <w:szCs w:val="24"/>
        </w:rPr>
        <w:t>3.5月度总结会议</w:t>
      </w:r>
    </w:p>
    <w:p>
      <w:pPr>
        <w:spacing w:line="360" w:lineRule="auto"/>
        <w:ind w:firstLine="480" w:firstLineChars="200"/>
        <w:rPr>
          <w:sz w:val="24"/>
          <w:szCs w:val="24"/>
        </w:rPr>
      </w:pPr>
      <w:r>
        <w:rPr>
          <w:rFonts w:hint="eastAsia"/>
          <w:sz w:val="24"/>
          <w:szCs w:val="24"/>
        </w:rPr>
        <w:t>3.5.1会议主持人：根据实际情况而定 ；</w:t>
      </w:r>
    </w:p>
    <w:p>
      <w:pPr>
        <w:spacing w:line="360" w:lineRule="auto"/>
        <w:ind w:firstLine="480" w:firstLineChars="200"/>
        <w:rPr>
          <w:sz w:val="24"/>
          <w:szCs w:val="24"/>
        </w:rPr>
      </w:pPr>
      <w:r>
        <w:rPr>
          <w:rFonts w:hint="eastAsia"/>
          <w:sz w:val="24"/>
          <w:szCs w:val="24"/>
        </w:rPr>
        <w:t>3.5.2会议参加人：全体员工；</w:t>
      </w:r>
    </w:p>
    <w:p>
      <w:pPr>
        <w:spacing w:line="360" w:lineRule="auto"/>
        <w:ind w:firstLine="480" w:firstLineChars="200"/>
        <w:rPr>
          <w:sz w:val="24"/>
          <w:szCs w:val="24"/>
        </w:rPr>
      </w:pPr>
      <w:r>
        <w:rPr>
          <w:rFonts w:hint="eastAsia"/>
          <w:sz w:val="24"/>
          <w:szCs w:val="24"/>
        </w:rPr>
        <w:t>3.5.3会议内容：</w:t>
      </w:r>
    </w:p>
    <w:p>
      <w:pPr>
        <w:spacing w:line="360" w:lineRule="auto"/>
        <w:ind w:firstLine="480" w:firstLineChars="200"/>
        <w:rPr>
          <w:sz w:val="24"/>
          <w:szCs w:val="24"/>
        </w:rPr>
      </w:pPr>
      <w:r>
        <w:rPr>
          <w:rFonts w:hint="eastAsia"/>
          <w:sz w:val="24"/>
          <w:szCs w:val="24"/>
        </w:rPr>
        <w:t>3.5.3.1汇报本月度的完成工作总结，对本月工作中出现的问题进行及时的调解和处理；</w:t>
      </w:r>
    </w:p>
    <w:p>
      <w:pPr>
        <w:spacing w:line="360" w:lineRule="auto"/>
        <w:ind w:firstLine="480" w:firstLineChars="200"/>
        <w:rPr>
          <w:sz w:val="24"/>
          <w:szCs w:val="24"/>
        </w:rPr>
      </w:pPr>
      <w:r>
        <w:rPr>
          <w:rFonts w:hint="eastAsia"/>
          <w:sz w:val="24"/>
          <w:szCs w:val="24"/>
        </w:rPr>
        <w:t>3.5.3.2集思广益，提出有利于基金会经营管理的方法和意见；</w:t>
      </w:r>
    </w:p>
    <w:p>
      <w:pPr>
        <w:spacing w:line="360" w:lineRule="auto"/>
        <w:ind w:firstLine="480" w:firstLineChars="200"/>
        <w:rPr>
          <w:sz w:val="24"/>
          <w:szCs w:val="24"/>
        </w:rPr>
      </w:pPr>
      <w:r>
        <w:rPr>
          <w:rFonts w:hint="eastAsia"/>
          <w:sz w:val="24"/>
          <w:szCs w:val="24"/>
        </w:rPr>
        <w:t>3.5.4会议记录：会议秘书</w:t>
      </w:r>
    </w:p>
    <w:p>
      <w:pPr>
        <w:spacing w:line="360" w:lineRule="auto"/>
        <w:ind w:firstLine="480" w:firstLineChars="200"/>
        <w:rPr>
          <w:sz w:val="24"/>
          <w:szCs w:val="24"/>
        </w:rPr>
      </w:pPr>
      <w:r>
        <w:rPr>
          <w:rFonts w:hint="eastAsia"/>
          <w:sz w:val="24"/>
          <w:szCs w:val="24"/>
        </w:rPr>
        <w:t>3.5.5会议时间：每月</w:t>
      </w:r>
      <w:r>
        <w:rPr>
          <w:rFonts w:hint="eastAsia"/>
          <w:sz w:val="24"/>
          <w:szCs w:val="24"/>
          <w:lang w:val="en-US" w:eastAsia="zh-CN"/>
        </w:rPr>
        <w:t>28</w:t>
      </w:r>
      <w:r>
        <w:rPr>
          <w:rFonts w:hint="eastAsia"/>
          <w:sz w:val="24"/>
          <w:szCs w:val="24"/>
        </w:rPr>
        <w:t>号上午10：00。（时间可根据实际工作情况而定）</w:t>
      </w:r>
    </w:p>
    <w:p>
      <w:pPr>
        <w:spacing w:line="360" w:lineRule="auto"/>
        <w:ind w:firstLine="480" w:firstLineChars="200"/>
        <w:rPr>
          <w:sz w:val="24"/>
          <w:szCs w:val="24"/>
        </w:rPr>
      </w:pPr>
      <w:r>
        <w:rPr>
          <w:rFonts w:hint="eastAsia"/>
          <w:sz w:val="24"/>
          <w:szCs w:val="24"/>
        </w:rPr>
        <w:t>3.6半年/全年总结会议</w:t>
      </w:r>
    </w:p>
    <w:p>
      <w:pPr>
        <w:spacing w:line="360" w:lineRule="auto"/>
        <w:ind w:firstLine="480" w:firstLineChars="200"/>
        <w:rPr>
          <w:sz w:val="24"/>
          <w:szCs w:val="24"/>
        </w:rPr>
      </w:pPr>
      <w:r>
        <w:rPr>
          <w:rFonts w:hint="eastAsia"/>
          <w:sz w:val="24"/>
          <w:szCs w:val="24"/>
        </w:rPr>
        <w:t>3.6.1会议主持人：据实际情况而定；</w:t>
      </w:r>
    </w:p>
    <w:p>
      <w:pPr>
        <w:spacing w:line="360" w:lineRule="auto"/>
        <w:ind w:firstLine="480" w:firstLineChars="200"/>
        <w:rPr>
          <w:sz w:val="24"/>
          <w:szCs w:val="24"/>
        </w:rPr>
      </w:pPr>
      <w:r>
        <w:rPr>
          <w:rFonts w:hint="eastAsia"/>
          <w:sz w:val="24"/>
          <w:szCs w:val="24"/>
        </w:rPr>
        <w:t>3.6.2会议参加人：全体员工；</w:t>
      </w:r>
    </w:p>
    <w:p>
      <w:pPr>
        <w:spacing w:line="360" w:lineRule="auto"/>
        <w:ind w:firstLine="480" w:firstLineChars="200"/>
        <w:rPr>
          <w:sz w:val="24"/>
          <w:szCs w:val="24"/>
        </w:rPr>
      </w:pPr>
      <w:r>
        <w:rPr>
          <w:rFonts w:hint="eastAsia"/>
          <w:sz w:val="24"/>
          <w:szCs w:val="24"/>
        </w:rPr>
        <w:t>3.6.3列席人员：根据需要通知相关与会人员。</w:t>
      </w:r>
    </w:p>
    <w:p>
      <w:pPr>
        <w:spacing w:line="360" w:lineRule="auto"/>
        <w:ind w:firstLine="480" w:firstLineChars="200"/>
        <w:rPr>
          <w:sz w:val="24"/>
          <w:szCs w:val="24"/>
        </w:rPr>
      </w:pPr>
      <w:r>
        <w:rPr>
          <w:rFonts w:hint="eastAsia"/>
          <w:sz w:val="24"/>
          <w:szCs w:val="24"/>
        </w:rPr>
        <w:t>3.6.4会议内容：</w:t>
      </w:r>
    </w:p>
    <w:p>
      <w:pPr>
        <w:spacing w:line="360" w:lineRule="auto"/>
        <w:ind w:firstLine="480" w:firstLineChars="200"/>
        <w:rPr>
          <w:sz w:val="24"/>
          <w:szCs w:val="24"/>
        </w:rPr>
      </w:pPr>
      <w:r>
        <w:rPr>
          <w:rFonts w:hint="eastAsia"/>
          <w:sz w:val="24"/>
          <w:szCs w:val="24"/>
        </w:rPr>
        <w:t xml:space="preserve">3.6.4.1员工对半年/全年各项工作进行总结，秘书长对基金会半年/全年的总体情况进行总结，并对工作出现的问题进行探讨与研究，寻求最佳对策； </w:t>
      </w:r>
    </w:p>
    <w:p>
      <w:pPr>
        <w:spacing w:line="360" w:lineRule="auto"/>
        <w:ind w:firstLine="480" w:firstLineChars="200"/>
        <w:rPr>
          <w:sz w:val="24"/>
          <w:szCs w:val="24"/>
        </w:rPr>
      </w:pPr>
      <w:r>
        <w:rPr>
          <w:rFonts w:hint="eastAsia"/>
          <w:sz w:val="24"/>
          <w:szCs w:val="24"/>
        </w:rPr>
        <w:t>3.6.4.2针对员工的工作表现，给予激励；</w:t>
      </w:r>
    </w:p>
    <w:p>
      <w:pPr>
        <w:spacing w:line="360" w:lineRule="auto"/>
        <w:ind w:firstLine="480" w:firstLineChars="200"/>
        <w:rPr>
          <w:sz w:val="24"/>
          <w:szCs w:val="24"/>
        </w:rPr>
      </w:pPr>
      <w:r>
        <w:rPr>
          <w:rFonts w:hint="eastAsia"/>
          <w:sz w:val="24"/>
          <w:szCs w:val="24"/>
        </w:rPr>
        <w:t>3.6.4.3集思广益，提出有利于基金会经营管理的方法和意见；</w:t>
      </w:r>
    </w:p>
    <w:p>
      <w:pPr>
        <w:spacing w:line="360" w:lineRule="auto"/>
        <w:ind w:firstLine="480" w:firstLineChars="200"/>
        <w:rPr>
          <w:sz w:val="24"/>
          <w:szCs w:val="24"/>
        </w:rPr>
      </w:pPr>
      <w:r>
        <w:rPr>
          <w:rFonts w:hint="eastAsia"/>
          <w:sz w:val="24"/>
          <w:szCs w:val="24"/>
        </w:rPr>
        <w:t>3.6.5会议记录：会议秘书</w:t>
      </w:r>
    </w:p>
    <w:p>
      <w:pPr>
        <w:spacing w:line="360" w:lineRule="auto"/>
        <w:ind w:firstLine="480" w:firstLineChars="200"/>
        <w:rPr>
          <w:sz w:val="24"/>
          <w:szCs w:val="24"/>
        </w:rPr>
      </w:pPr>
      <w:r>
        <w:rPr>
          <w:rFonts w:hint="eastAsia"/>
          <w:sz w:val="24"/>
          <w:szCs w:val="24"/>
        </w:rPr>
        <w:t>3.6.6会议时间：半年会议定于7月份；全年会议定于年底或第二年年初。</w:t>
      </w:r>
    </w:p>
    <w:p>
      <w:pPr>
        <w:spacing w:line="360" w:lineRule="auto"/>
        <w:ind w:firstLine="482" w:firstLineChars="200"/>
        <w:rPr>
          <w:b/>
          <w:sz w:val="24"/>
          <w:szCs w:val="24"/>
        </w:rPr>
      </w:pPr>
      <w:r>
        <w:rPr>
          <w:rFonts w:hint="eastAsia"/>
          <w:b/>
          <w:sz w:val="24"/>
          <w:szCs w:val="24"/>
        </w:rPr>
        <w:t>第三类：分享学习交流类会议</w:t>
      </w:r>
    </w:p>
    <w:p>
      <w:pPr>
        <w:spacing w:line="360" w:lineRule="auto"/>
        <w:ind w:firstLine="480" w:firstLineChars="200"/>
        <w:rPr>
          <w:sz w:val="24"/>
          <w:szCs w:val="24"/>
        </w:rPr>
      </w:pPr>
      <w:r>
        <w:rPr>
          <w:rFonts w:hint="eastAsia"/>
          <w:sz w:val="24"/>
          <w:szCs w:val="24"/>
        </w:rPr>
        <w:t>3.7周工作分享例会</w:t>
      </w:r>
    </w:p>
    <w:p>
      <w:pPr>
        <w:spacing w:line="360" w:lineRule="auto"/>
        <w:ind w:firstLine="480" w:firstLineChars="200"/>
        <w:rPr>
          <w:sz w:val="24"/>
          <w:szCs w:val="24"/>
        </w:rPr>
      </w:pPr>
      <w:r>
        <w:rPr>
          <w:rFonts w:hint="eastAsia"/>
          <w:sz w:val="24"/>
          <w:szCs w:val="24"/>
        </w:rPr>
        <w:t>3.7.1会议主持人：员工轮流担任；</w:t>
      </w:r>
    </w:p>
    <w:p>
      <w:pPr>
        <w:spacing w:line="360" w:lineRule="auto"/>
        <w:ind w:firstLine="480" w:firstLineChars="200"/>
        <w:rPr>
          <w:sz w:val="24"/>
          <w:szCs w:val="24"/>
        </w:rPr>
      </w:pPr>
      <w:r>
        <w:rPr>
          <w:rFonts w:hint="eastAsia"/>
          <w:sz w:val="24"/>
          <w:szCs w:val="24"/>
        </w:rPr>
        <w:t>3.7.2会议参加人：所有在岗人员；</w:t>
      </w:r>
    </w:p>
    <w:p>
      <w:pPr>
        <w:spacing w:line="360" w:lineRule="auto"/>
        <w:ind w:firstLine="480" w:firstLineChars="200"/>
        <w:rPr>
          <w:sz w:val="24"/>
          <w:szCs w:val="24"/>
        </w:rPr>
      </w:pPr>
      <w:r>
        <w:rPr>
          <w:rFonts w:hint="eastAsia"/>
          <w:sz w:val="24"/>
          <w:szCs w:val="24"/>
        </w:rPr>
        <w:t>3.7.3会议内容：</w:t>
      </w:r>
    </w:p>
    <w:p>
      <w:pPr>
        <w:spacing w:line="360" w:lineRule="auto"/>
        <w:ind w:firstLine="480" w:firstLineChars="200"/>
        <w:rPr>
          <w:sz w:val="24"/>
          <w:szCs w:val="24"/>
        </w:rPr>
      </w:pPr>
      <w:r>
        <w:rPr>
          <w:rFonts w:hint="eastAsia"/>
          <w:sz w:val="24"/>
          <w:szCs w:val="24"/>
        </w:rPr>
        <w:t>3.7.3.1听取员工对所属工作的汇报，对完成有困难的工作集体讨论研究，并寻找解决办法；</w:t>
      </w:r>
    </w:p>
    <w:p>
      <w:pPr>
        <w:spacing w:line="360" w:lineRule="auto"/>
        <w:ind w:firstLine="480" w:firstLineChars="200"/>
        <w:rPr>
          <w:sz w:val="24"/>
          <w:szCs w:val="24"/>
        </w:rPr>
      </w:pPr>
      <w:r>
        <w:rPr>
          <w:rFonts w:hint="eastAsia"/>
          <w:sz w:val="24"/>
          <w:szCs w:val="24"/>
        </w:rPr>
        <w:t>3.7.3.2对工作中出现的问题及时跟踪改进，对工作中的失误找出原因并及时改正、总结；</w:t>
      </w:r>
    </w:p>
    <w:p>
      <w:pPr>
        <w:spacing w:line="360" w:lineRule="auto"/>
        <w:ind w:firstLine="480" w:firstLineChars="200"/>
        <w:rPr>
          <w:sz w:val="24"/>
          <w:szCs w:val="24"/>
        </w:rPr>
      </w:pPr>
      <w:r>
        <w:rPr>
          <w:rFonts w:hint="eastAsia"/>
          <w:sz w:val="24"/>
          <w:szCs w:val="24"/>
        </w:rPr>
        <w:t>3.7.3.3交流项目及工作经验；</w:t>
      </w:r>
    </w:p>
    <w:p>
      <w:pPr>
        <w:spacing w:line="360" w:lineRule="auto"/>
        <w:ind w:firstLine="480" w:firstLineChars="200"/>
        <w:rPr>
          <w:sz w:val="24"/>
          <w:szCs w:val="24"/>
        </w:rPr>
      </w:pPr>
      <w:r>
        <w:rPr>
          <w:rFonts w:hint="eastAsia"/>
          <w:sz w:val="24"/>
          <w:szCs w:val="24"/>
        </w:rPr>
        <w:t>3.7.3.4分享公益案例。</w:t>
      </w:r>
    </w:p>
    <w:p>
      <w:pPr>
        <w:spacing w:line="360" w:lineRule="auto"/>
        <w:ind w:firstLine="480" w:firstLineChars="200"/>
        <w:rPr>
          <w:sz w:val="24"/>
          <w:szCs w:val="24"/>
        </w:rPr>
      </w:pPr>
      <w:r>
        <w:rPr>
          <w:rFonts w:hint="eastAsia"/>
          <w:sz w:val="24"/>
          <w:szCs w:val="24"/>
        </w:rPr>
        <w:t>3.7.4会议记录：会议秘书</w:t>
      </w:r>
    </w:p>
    <w:p>
      <w:pPr>
        <w:spacing w:line="360" w:lineRule="auto"/>
        <w:ind w:firstLine="480" w:firstLineChars="200"/>
        <w:rPr>
          <w:sz w:val="24"/>
          <w:szCs w:val="24"/>
        </w:rPr>
      </w:pPr>
      <w:r>
        <w:rPr>
          <w:rFonts w:hint="eastAsia"/>
          <w:sz w:val="24"/>
          <w:szCs w:val="24"/>
        </w:rPr>
        <w:t>3.7.5会议时间：每周五下午3：00。</w:t>
      </w:r>
    </w:p>
    <w:p>
      <w:pPr>
        <w:spacing w:line="360" w:lineRule="auto"/>
        <w:ind w:firstLine="480" w:firstLineChars="200"/>
        <w:rPr>
          <w:sz w:val="24"/>
          <w:szCs w:val="24"/>
        </w:rPr>
      </w:pPr>
      <w:r>
        <w:rPr>
          <w:rFonts w:hint="eastAsia"/>
          <w:sz w:val="24"/>
          <w:szCs w:val="24"/>
        </w:rPr>
        <w:t>3.8专题研讨会</w:t>
      </w:r>
    </w:p>
    <w:p>
      <w:pPr>
        <w:spacing w:line="360" w:lineRule="auto"/>
        <w:ind w:firstLine="480" w:firstLineChars="200"/>
        <w:rPr>
          <w:sz w:val="24"/>
          <w:szCs w:val="24"/>
        </w:rPr>
      </w:pPr>
      <w:r>
        <w:rPr>
          <w:rFonts w:hint="eastAsia"/>
          <w:sz w:val="24"/>
          <w:szCs w:val="24"/>
        </w:rPr>
        <w:t>3.8.1会议主持人：外部专家、顾问；</w:t>
      </w:r>
    </w:p>
    <w:p>
      <w:pPr>
        <w:spacing w:line="360" w:lineRule="auto"/>
        <w:ind w:firstLine="480" w:firstLineChars="200"/>
        <w:rPr>
          <w:rFonts w:hint="eastAsia" w:eastAsiaTheme="minorEastAsia"/>
          <w:sz w:val="24"/>
          <w:szCs w:val="24"/>
          <w:lang w:eastAsia="zh-CN"/>
        </w:rPr>
      </w:pPr>
      <w:r>
        <w:rPr>
          <w:rFonts w:hint="eastAsia"/>
          <w:sz w:val="24"/>
          <w:szCs w:val="24"/>
        </w:rPr>
        <w:t>3.8.2会议参加人：根据具体情况通知相关人员</w:t>
      </w:r>
      <w:r>
        <w:rPr>
          <w:rFonts w:hint="eastAsia"/>
          <w:sz w:val="24"/>
          <w:szCs w:val="24"/>
          <w:lang w:eastAsia="zh-CN"/>
        </w:rPr>
        <w:t>；</w:t>
      </w:r>
    </w:p>
    <w:p>
      <w:pPr>
        <w:spacing w:line="360" w:lineRule="auto"/>
        <w:ind w:firstLine="480" w:firstLineChars="200"/>
        <w:rPr>
          <w:rFonts w:hint="eastAsia" w:eastAsiaTheme="minorEastAsia"/>
          <w:sz w:val="24"/>
          <w:szCs w:val="24"/>
          <w:lang w:eastAsia="zh-CN"/>
        </w:rPr>
      </w:pPr>
      <w:r>
        <w:rPr>
          <w:rFonts w:hint="eastAsia"/>
          <w:sz w:val="24"/>
          <w:szCs w:val="24"/>
        </w:rPr>
        <w:t>3.8.3会议内容：听取专家意见，提升员工专业技能</w:t>
      </w:r>
      <w:r>
        <w:rPr>
          <w:rFonts w:hint="eastAsia"/>
          <w:sz w:val="24"/>
          <w:szCs w:val="24"/>
          <w:lang w:eastAsia="zh-CN"/>
        </w:rPr>
        <w:t>；</w:t>
      </w:r>
    </w:p>
    <w:p>
      <w:pPr>
        <w:spacing w:line="360" w:lineRule="auto"/>
        <w:ind w:firstLine="480" w:firstLineChars="200"/>
        <w:rPr>
          <w:rFonts w:hint="eastAsia" w:eastAsiaTheme="minorEastAsia"/>
          <w:sz w:val="24"/>
          <w:szCs w:val="24"/>
          <w:lang w:eastAsia="zh-CN"/>
        </w:rPr>
      </w:pPr>
      <w:r>
        <w:rPr>
          <w:rFonts w:hint="eastAsia"/>
          <w:sz w:val="24"/>
          <w:szCs w:val="24"/>
        </w:rPr>
        <w:t>3.8.4会议记录：会议秘书</w:t>
      </w:r>
      <w:r>
        <w:rPr>
          <w:rFonts w:hint="eastAsia"/>
          <w:sz w:val="24"/>
          <w:szCs w:val="24"/>
          <w:lang w:eastAsia="zh-CN"/>
        </w:rPr>
        <w:t>。</w:t>
      </w:r>
    </w:p>
    <w:p>
      <w:pPr>
        <w:spacing w:line="360" w:lineRule="auto"/>
        <w:ind w:firstLine="482" w:firstLineChars="200"/>
        <w:rPr>
          <w:b/>
          <w:sz w:val="24"/>
          <w:szCs w:val="24"/>
        </w:rPr>
      </w:pPr>
      <w:r>
        <w:rPr>
          <w:rFonts w:hint="eastAsia"/>
          <w:b/>
          <w:sz w:val="24"/>
          <w:szCs w:val="24"/>
        </w:rPr>
        <w:t>第四类：临时会议</w:t>
      </w:r>
    </w:p>
    <w:p>
      <w:pPr>
        <w:spacing w:line="360" w:lineRule="auto"/>
        <w:ind w:firstLine="480" w:firstLineChars="200"/>
        <w:rPr>
          <w:sz w:val="24"/>
          <w:szCs w:val="24"/>
        </w:rPr>
      </w:pPr>
      <w:r>
        <w:rPr>
          <w:rFonts w:hint="eastAsia"/>
          <w:sz w:val="24"/>
          <w:szCs w:val="24"/>
        </w:rPr>
        <w:t>3.9.1会议主持人：召集人；</w:t>
      </w:r>
    </w:p>
    <w:p>
      <w:pPr>
        <w:spacing w:line="360" w:lineRule="auto"/>
        <w:ind w:firstLine="480" w:firstLineChars="200"/>
        <w:rPr>
          <w:sz w:val="24"/>
          <w:szCs w:val="24"/>
        </w:rPr>
      </w:pPr>
      <w:r>
        <w:rPr>
          <w:rFonts w:hint="eastAsia"/>
          <w:sz w:val="24"/>
          <w:szCs w:val="24"/>
        </w:rPr>
        <w:t>3.9.2会议参加人：根据具体情况通知相关人员；</w:t>
      </w:r>
    </w:p>
    <w:p>
      <w:pPr>
        <w:spacing w:line="360" w:lineRule="auto"/>
        <w:ind w:firstLine="480" w:firstLineChars="200"/>
        <w:rPr>
          <w:sz w:val="24"/>
          <w:szCs w:val="24"/>
        </w:rPr>
      </w:pPr>
      <w:r>
        <w:rPr>
          <w:rFonts w:hint="eastAsia"/>
          <w:sz w:val="24"/>
          <w:szCs w:val="24"/>
        </w:rPr>
        <w:t>3.9.3会议内容：处理临时发生的各种紧急、突发事件；</w:t>
      </w:r>
    </w:p>
    <w:p>
      <w:pPr>
        <w:spacing w:line="360" w:lineRule="auto"/>
        <w:ind w:firstLine="480" w:firstLineChars="200"/>
        <w:rPr>
          <w:sz w:val="24"/>
          <w:szCs w:val="24"/>
        </w:rPr>
      </w:pPr>
      <w:r>
        <w:rPr>
          <w:rFonts w:hint="eastAsia"/>
          <w:sz w:val="24"/>
          <w:szCs w:val="24"/>
        </w:rPr>
        <w:t>3.9.4会议记录：会议秘书</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 会议室管理</w:t>
      </w:r>
    </w:p>
    <w:p>
      <w:pPr>
        <w:spacing w:line="360" w:lineRule="auto"/>
        <w:ind w:firstLine="480" w:firstLineChars="200"/>
        <w:rPr>
          <w:rFonts w:hint="eastAsia" w:eastAsiaTheme="minorEastAsia"/>
          <w:sz w:val="24"/>
          <w:szCs w:val="24"/>
          <w:lang w:eastAsia="zh-CN"/>
        </w:rPr>
      </w:pPr>
      <w:r>
        <w:rPr>
          <w:rFonts w:hint="eastAsia"/>
          <w:sz w:val="24"/>
          <w:szCs w:val="24"/>
        </w:rPr>
        <w:t>4.1综合管理部统筹管理机构内部的会议室</w:t>
      </w:r>
      <w:r>
        <w:rPr>
          <w:rFonts w:hint="eastAsia"/>
          <w:sz w:val="24"/>
          <w:szCs w:val="24"/>
          <w:lang w:eastAsia="zh-CN"/>
        </w:rPr>
        <w:t>。</w:t>
      </w:r>
    </w:p>
    <w:p>
      <w:pPr>
        <w:spacing w:line="360" w:lineRule="auto"/>
        <w:ind w:firstLine="480" w:firstLineChars="200"/>
        <w:rPr>
          <w:rFonts w:hint="eastAsia" w:eastAsiaTheme="minorEastAsia"/>
          <w:sz w:val="24"/>
          <w:szCs w:val="24"/>
          <w:lang w:eastAsia="zh-CN"/>
        </w:rPr>
      </w:pPr>
      <w:r>
        <w:rPr>
          <w:rFonts w:hint="eastAsia"/>
          <w:sz w:val="24"/>
          <w:szCs w:val="24"/>
        </w:rPr>
        <w:t>4.2 综合管理部负责定期检查会议设施用具，维护桌椅、用具、设施的齐备</w:t>
      </w:r>
      <w:r>
        <w:rPr>
          <w:rFonts w:hint="eastAsia"/>
          <w:sz w:val="24"/>
          <w:szCs w:val="24"/>
          <w:lang w:eastAsia="zh-CN"/>
        </w:rPr>
        <w:t>。</w:t>
      </w:r>
    </w:p>
    <w:p>
      <w:pPr>
        <w:spacing w:line="360" w:lineRule="auto"/>
        <w:ind w:firstLine="480" w:firstLineChars="200"/>
        <w:rPr>
          <w:sz w:val="24"/>
          <w:szCs w:val="24"/>
        </w:rPr>
      </w:pPr>
      <w:r>
        <w:rPr>
          <w:rFonts w:hint="eastAsia"/>
          <w:sz w:val="24"/>
          <w:szCs w:val="24"/>
        </w:rPr>
        <w:t>4.3综合管理部负责会议室的使用预约，并协调各部门的使用时间。</w:t>
      </w:r>
    </w:p>
    <w:p>
      <w:pPr>
        <w:spacing w:line="360" w:lineRule="auto"/>
        <w:ind w:firstLine="480" w:firstLineChars="200"/>
        <w:rPr>
          <w:sz w:val="24"/>
          <w:szCs w:val="24"/>
        </w:rPr>
      </w:pPr>
      <w:r>
        <w:rPr>
          <w:rFonts w:hint="eastAsia"/>
          <w:sz w:val="24"/>
          <w:szCs w:val="24"/>
        </w:rPr>
        <w:t>4.4会议室的预约</w:t>
      </w:r>
    </w:p>
    <w:p>
      <w:pPr>
        <w:spacing w:line="360" w:lineRule="auto"/>
        <w:ind w:firstLine="480" w:firstLineChars="200"/>
        <w:rPr>
          <w:sz w:val="24"/>
          <w:szCs w:val="24"/>
        </w:rPr>
      </w:pPr>
      <w:r>
        <w:rPr>
          <w:rFonts w:hint="eastAsia"/>
          <w:sz w:val="24"/>
          <w:szCs w:val="24"/>
        </w:rPr>
        <w:t>4.4.1为避免会议时间冲突，如有使用会议室的，需向综合管理部提前预定，由其协调安排；</w:t>
      </w:r>
    </w:p>
    <w:p>
      <w:pPr>
        <w:spacing w:line="360" w:lineRule="auto"/>
        <w:ind w:firstLine="480" w:firstLineChars="200"/>
        <w:rPr>
          <w:sz w:val="24"/>
          <w:szCs w:val="24"/>
        </w:rPr>
      </w:pPr>
      <w:r>
        <w:rPr>
          <w:rFonts w:hint="eastAsia"/>
          <w:sz w:val="24"/>
          <w:szCs w:val="24"/>
        </w:rPr>
        <w:t>4.4.2 临时召开的紧急会议需要占用已被预约的会议室时，需及时向综合管理部提出，并由其协调处理；</w:t>
      </w:r>
    </w:p>
    <w:p>
      <w:pPr>
        <w:spacing w:line="360" w:lineRule="auto"/>
        <w:ind w:firstLine="480" w:firstLineChars="200"/>
        <w:rPr>
          <w:sz w:val="24"/>
          <w:szCs w:val="24"/>
        </w:rPr>
      </w:pPr>
      <w:r>
        <w:rPr>
          <w:rFonts w:hint="eastAsia"/>
          <w:sz w:val="24"/>
          <w:szCs w:val="24"/>
        </w:rPr>
        <w:t>4.4.3 如有外部会议或有重要客人参加的会议，需要提供茶水等服务的，应提前1天通知综合管理部准备。</w:t>
      </w:r>
    </w:p>
    <w:p>
      <w:pPr>
        <w:spacing w:line="360" w:lineRule="auto"/>
        <w:ind w:firstLine="480" w:firstLineChars="200"/>
        <w:rPr>
          <w:sz w:val="24"/>
          <w:szCs w:val="24"/>
        </w:rPr>
      </w:pPr>
      <w:r>
        <w:rPr>
          <w:rFonts w:hint="eastAsia"/>
          <w:sz w:val="24"/>
          <w:szCs w:val="24"/>
        </w:rPr>
        <w:t>4.5 会议室使用注意事项</w:t>
      </w:r>
    </w:p>
    <w:p>
      <w:pPr>
        <w:spacing w:line="360" w:lineRule="auto"/>
        <w:ind w:firstLine="480" w:firstLineChars="200"/>
        <w:rPr>
          <w:sz w:val="24"/>
          <w:szCs w:val="24"/>
        </w:rPr>
      </w:pPr>
      <w:r>
        <w:rPr>
          <w:rFonts w:hint="eastAsia"/>
          <w:sz w:val="24"/>
          <w:szCs w:val="24"/>
        </w:rPr>
        <w:t>4.5.1在使用会议室的过程中，爱护会议室设施、设备、用具，保持环境卫生整洁，严禁在墙壁、桌椅上乱涂乱画；</w:t>
      </w:r>
    </w:p>
    <w:p>
      <w:pPr>
        <w:spacing w:line="360" w:lineRule="auto"/>
        <w:ind w:firstLine="480" w:firstLineChars="200"/>
        <w:rPr>
          <w:sz w:val="24"/>
          <w:szCs w:val="24"/>
        </w:rPr>
      </w:pPr>
      <w:r>
        <w:rPr>
          <w:rFonts w:hint="eastAsia"/>
          <w:sz w:val="24"/>
          <w:szCs w:val="24"/>
        </w:rPr>
        <w:t>4.5.2会议室使用后，会议室使用人员应关闭照明、空调、设备等电源，确保防火、防盗等。并对会议设备、设施进行认真检查，如有故障需及时通知综合管理部，通知专人进行维修跟进；</w:t>
      </w:r>
    </w:p>
    <w:p>
      <w:pPr>
        <w:spacing w:line="360" w:lineRule="auto"/>
        <w:ind w:firstLine="480" w:firstLineChars="200"/>
        <w:rPr>
          <w:sz w:val="24"/>
          <w:szCs w:val="24"/>
        </w:rPr>
      </w:pPr>
      <w:r>
        <w:rPr>
          <w:rFonts w:hint="eastAsia"/>
          <w:sz w:val="24"/>
          <w:szCs w:val="24"/>
        </w:rPr>
        <w:t>4.5.3 会议室配置的设备、用具、桌椅未经许可不得随意搬动挪作它用，如有需调整变动</w:t>
      </w:r>
      <w:r>
        <w:rPr>
          <w:rFonts w:hint="eastAsia"/>
          <w:sz w:val="24"/>
          <w:szCs w:val="24"/>
          <w:lang w:eastAsia="zh-CN"/>
        </w:rPr>
        <w:t>，</w:t>
      </w:r>
      <w:r>
        <w:rPr>
          <w:rFonts w:hint="eastAsia"/>
          <w:sz w:val="24"/>
          <w:szCs w:val="24"/>
        </w:rPr>
        <w:t>会议后应及时归还复位。</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 会议纪律</w:t>
      </w:r>
    </w:p>
    <w:p>
      <w:pPr>
        <w:spacing w:line="360" w:lineRule="auto"/>
        <w:ind w:firstLine="480" w:firstLineChars="200"/>
        <w:rPr>
          <w:sz w:val="24"/>
          <w:szCs w:val="24"/>
        </w:rPr>
      </w:pPr>
      <w:r>
        <w:rPr>
          <w:rFonts w:hint="eastAsia"/>
          <w:sz w:val="24"/>
          <w:szCs w:val="24"/>
        </w:rPr>
        <w:t>5.1与会者应按照会议通知的时间准时到会，不得迟到、早退。如因特殊情况不能参会，需提前请假。</w:t>
      </w:r>
    </w:p>
    <w:p>
      <w:pPr>
        <w:spacing w:line="360" w:lineRule="auto"/>
        <w:ind w:firstLine="480" w:firstLineChars="200"/>
        <w:rPr>
          <w:sz w:val="24"/>
          <w:szCs w:val="24"/>
        </w:rPr>
      </w:pPr>
      <w:r>
        <w:rPr>
          <w:rFonts w:hint="eastAsia"/>
          <w:sz w:val="24"/>
          <w:szCs w:val="24"/>
        </w:rPr>
        <w:t>5.2会议要求的各种资料(如周、月计划)应在会议前准备好。</w:t>
      </w:r>
    </w:p>
    <w:p>
      <w:pPr>
        <w:spacing w:line="360" w:lineRule="auto"/>
        <w:ind w:firstLine="480" w:firstLineChars="200"/>
        <w:rPr>
          <w:sz w:val="24"/>
          <w:szCs w:val="24"/>
        </w:rPr>
      </w:pPr>
      <w:r>
        <w:rPr>
          <w:rFonts w:hint="eastAsia"/>
          <w:sz w:val="24"/>
          <w:szCs w:val="24"/>
        </w:rPr>
        <w:t>5.3会议期间，参会者需将手机关机或调至静音状态，不要大声接、打电话。</w:t>
      </w:r>
    </w:p>
    <w:p>
      <w:pPr>
        <w:spacing w:line="360" w:lineRule="auto"/>
        <w:ind w:firstLine="480" w:firstLineChars="200"/>
        <w:rPr>
          <w:sz w:val="24"/>
          <w:szCs w:val="24"/>
        </w:rPr>
      </w:pPr>
      <w:r>
        <w:rPr>
          <w:rFonts w:hint="eastAsia"/>
          <w:sz w:val="24"/>
          <w:szCs w:val="24"/>
        </w:rPr>
        <w:t xml:space="preserve">5.4会议应做到主题明确、程序精简、发扬民主、有议有决。 </w:t>
      </w:r>
    </w:p>
    <w:p>
      <w:pPr>
        <w:spacing w:line="360" w:lineRule="auto"/>
        <w:ind w:firstLine="480" w:firstLineChars="200"/>
        <w:rPr>
          <w:sz w:val="24"/>
          <w:szCs w:val="24"/>
        </w:rPr>
      </w:pPr>
      <w:r>
        <w:rPr>
          <w:rFonts w:hint="eastAsia"/>
          <w:sz w:val="24"/>
          <w:szCs w:val="24"/>
        </w:rPr>
        <w:t>5.5会议内容若需保密的，应做好保密工作。</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6.</w:t>
      </w:r>
      <w:r>
        <w:rPr>
          <w:rFonts w:hint="eastAsia" w:ascii="微软雅黑" w:hAnsi="微软雅黑" w:eastAsia="微软雅黑"/>
          <w:b/>
          <w:sz w:val="24"/>
          <w:szCs w:val="24"/>
        </w:rPr>
        <w:tab/>
      </w:r>
      <w:r>
        <w:rPr>
          <w:rFonts w:hint="eastAsia" w:ascii="微软雅黑" w:hAnsi="微软雅黑" w:eastAsia="微软雅黑"/>
          <w:b/>
          <w:sz w:val="24"/>
          <w:szCs w:val="24"/>
        </w:rPr>
        <w:t>会议记录</w:t>
      </w:r>
    </w:p>
    <w:p>
      <w:pPr>
        <w:spacing w:line="360" w:lineRule="auto"/>
        <w:ind w:firstLine="480" w:firstLineChars="200"/>
        <w:rPr>
          <w:sz w:val="24"/>
          <w:szCs w:val="24"/>
        </w:rPr>
      </w:pPr>
      <w:r>
        <w:rPr>
          <w:rFonts w:hint="eastAsia"/>
          <w:sz w:val="24"/>
          <w:szCs w:val="24"/>
        </w:rPr>
        <w:t>6.1会议记录由会议秘书负责，会议秘书可以由秘书、实习生或指定人员担任。</w:t>
      </w:r>
    </w:p>
    <w:p>
      <w:pPr>
        <w:spacing w:line="360" w:lineRule="auto"/>
        <w:ind w:firstLine="480" w:firstLineChars="200"/>
        <w:rPr>
          <w:sz w:val="24"/>
          <w:szCs w:val="24"/>
        </w:rPr>
      </w:pPr>
      <w:r>
        <w:rPr>
          <w:rFonts w:hint="eastAsia"/>
          <w:sz w:val="24"/>
          <w:szCs w:val="24"/>
        </w:rPr>
        <w:t>6.2周工作例会、月度会议，记录应在一天内整理完毕，送交会议主持人核阅，作为下一次会议的参考资料。</w:t>
      </w:r>
    </w:p>
    <w:p>
      <w:pPr>
        <w:spacing w:line="360" w:lineRule="auto"/>
        <w:ind w:firstLine="480" w:firstLineChars="200"/>
        <w:rPr>
          <w:sz w:val="24"/>
          <w:szCs w:val="24"/>
        </w:rPr>
      </w:pPr>
      <w:r>
        <w:rPr>
          <w:rFonts w:hint="eastAsia"/>
          <w:sz w:val="24"/>
          <w:szCs w:val="24"/>
        </w:rPr>
        <w:t>6.3月度工作计划及总结，与会人员均应记录会议要点。</w:t>
      </w:r>
    </w:p>
    <w:p>
      <w:pPr>
        <w:spacing w:line="360" w:lineRule="auto"/>
        <w:ind w:firstLine="480" w:firstLineChars="200"/>
        <w:rPr>
          <w:sz w:val="24"/>
          <w:szCs w:val="24"/>
        </w:rPr>
      </w:pPr>
      <w:r>
        <w:rPr>
          <w:rFonts w:hint="eastAsia"/>
          <w:sz w:val="24"/>
          <w:szCs w:val="24"/>
        </w:rPr>
        <w:t>6.4半年/全年总结会议记录由秘书整理完毕，经</w:t>
      </w:r>
      <w:r>
        <w:rPr>
          <w:rFonts w:hint="eastAsia"/>
          <w:sz w:val="24"/>
          <w:szCs w:val="24"/>
          <w:lang w:eastAsia="zh-CN"/>
        </w:rPr>
        <w:t>秘书长</w:t>
      </w:r>
      <w:r>
        <w:rPr>
          <w:rFonts w:hint="eastAsia"/>
          <w:sz w:val="24"/>
          <w:szCs w:val="24"/>
        </w:rPr>
        <w:t>签字确认，然后分发给员工，用以学习和总结各自的工作。</w:t>
      </w:r>
    </w:p>
    <w:p>
      <w:pPr>
        <w:spacing w:line="360" w:lineRule="auto"/>
        <w:ind w:firstLine="480" w:firstLineChars="200"/>
        <w:rPr>
          <w:sz w:val="24"/>
          <w:szCs w:val="24"/>
        </w:rPr>
      </w:pPr>
      <w:r>
        <w:rPr>
          <w:rFonts w:hint="eastAsia"/>
          <w:sz w:val="24"/>
          <w:szCs w:val="24"/>
        </w:rPr>
        <w:t>6.5所有会议纪要均按照统一模板（附件1），由秘书存档并备份。理事会除了会议纪要之外，还需完成理事会会议纪要上报签字版，具体详见《理事会制度》。</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7．会议筹备与落实</w:t>
      </w:r>
    </w:p>
    <w:p>
      <w:pPr>
        <w:spacing w:line="360" w:lineRule="auto"/>
        <w:ind w:firstLine="480" w:firstLineChars="200"/>
        <w:rPr>
          <w:sz w:val="24"/>
          <w:szCs w:val="24"/>
        </w:rPr>
      </w:pPr>
      <w:r>
        <w:rPr>
          <w:rFonts w:hint="eastAsia"/>
          <w:sz w:val="24"/>
          <w:szCs w:val="24"/>
        </w:rPr>
        <w:t>7.1会务筹备、落实工作由会议秘书负责，可请其他员工协助；</w:t>
      </w:r>
    </w:p>
    <w:p>
      <w:pPr>
        <w:spacing w:line="360" w:lineRule="auto"/>
        <w:ind w:firstLine="480" w:firstLineChars="200"/>
        <w:rPr>
          <w:sz w:val="24"/>
          <w:szCs w:val="24"/>
        </w:rPr>
      </w:pPr>
      <w:r>
        <w:rPr>
          <w:rFonts w:hint="eastAsia"/>
          <w:sz w:val="24"/>
          <w:szCs w:val="24"/>
        </w:rPr>
        <w:t>7.2根据领导指示或例会安排，确定会议内容、时间、地点、参会人员；</w:t>
      </w:r>
    </w:p>
    <w:p>
      <w:pPr>
        <w:spacing w:line="360" w:lineRule="auto"/>
        <w:ind w:firstLine="480" w:firstLineChars="200"/>
        <w:rPr>
          <w:sz w:val="24"/>
          <w:szCs w:val="24"/>
        </w:rPr>
      </w:pPr>
      <w:r>
        <w:rPr>
          <w:rFonts w:hint="eastAsia"/>
          <w:sz w:val="24"/>
          <w:szCs w:val="24"/>
        </w:rPr>
        <w:t>7.3提前通知所有参会人员；</w:t>
      </w:r>
    </w:p>
    <w:p>
      <w:pPr>
        <w:spacing w:line="360" w:lineRule="auto"/>
        <w:ind w:firstLine="480" w:firstLineChars="200"/>
        <w:rPr>
          <w:sz w:val="24"/>
          <w:szCs w:val="24"/>
        </w:rPr>
      </w:pPr>
      <w:r>
        <w:rPr>
          <w:rFonts w:hint="eastAsia"/>
          <w:sz w:val="24"/>
          <w:szCs w:val="24"/>
        </w:rPr>
        <w:t>7.4根据会议需要布置会场，需要悬挂横幅、制作背景板、水牌、桌牌等工作，需提前落实；</w:t>
      </w:r>
    </w:p>
    <w:p>
      <w:pPr>
        <w:spacing w:line="360" w:lineRule="auto"/>
        <w:ind w:firstLine="480" w:firstLineChars="200"/>
        <w:rPr>
          <w:sz w:val="24"/>
          <w:szCs w:val="24"/>
        </w:rPr>
      </w:pPr>
      <w:r>
        <w:rPr>
          <w:rFonts w:hint="eastAsia"/>
          <w:sz w:val="24"/>
          <w:szCs w:val="24"/>
        </w:rPr>
        <w:t>7.5准备电脑、投影仪等相关仪器设备、纸笔等文具及相关资料；</w:t>
      </w:r>
    </w:p>
    <w:p>
      <w:pPr>
        <w:spacing w:line="360" w:lineRule="auto"/>
        <w:ind w:firstLine="480" w:firstLineChars="200"/>
        <w:rPr>
          <w:sz w:val="24"/>
          <w:szCs w:val="24"/>
        </w:rPr>
      </w:pPr>
      <w:r>
        <w:rPr>
          <w:rFonts w:hint="eastAsia"/>
          <w:sz w:val="24"/>
          <w:szCs w:val="24"/>
        </w:rPr>
        <w:t>7.6做好茶歇等安排；</w:t>
      </w:r>
    </w:p>
    <w:p>
      <w:pPr>
        <w:spacing w:line="360" w:lineRule="auto"/>
        <w:ind w:firstLine="480" w:firstLineChars="200"/>
        <w:rPr>
          <w:sz w:val="24"/>
          <w:szCs w:val="24"/>
        </w:rPr>
      </w:pPr>
      <w:r>
        <w:rPr>
          <w:rFonts w:hint="eastAsia"/>
          <w:sz w:val="24"/>
          <w:szCs w:val="24"/>
        </w:rPr>
        <w:t>7.7做作会议纪要；</w:t>
      </w:r>
    </w:p>
    <w:p>
      <w:pPr>
        <w:spacing w:line="360" w:lineRule="auto"/>
        <w:ind w:firstLine="480" w:firstLineChars="200"/>
        <w:rPr>
          <w:sz w:val="24"/>
          <w:szCs w:val="24"/>
        </w:rPr>
      </w:pPr>
      <w:r>
        <w:rPr>
          <w:rFonts w:hint="eastAsia"/>
          <w:sz w:val="24"/>
          <w:szCs w:val="24"/>
        </w:rPr>
        <w:t>7.8其他会务工作。</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8．附则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p>
    <w:p>
      <w:pPr>
        <w:spacing w:line="360" w:lineRule="auto"/>
        <w:rPr>
          <w:sz w:val="24"/>
          <w:szCs w:val="24"/>
        </w:rPr>
      </w:pPr>
    </w:p>
    <w:p>
      <w:pPr>
        <w:spacing w:line="360" w:lineRule="auto"/>
        <w:ind w:firstLine="480" w:firstLineChars="200"/>
        <w:rPr>
          <w:sz w:val="24"/>
          <w:szCs w:val="24"/>
        </w:rPr>
      </w:pPr>
    </w:p>
    <w:p>
      <w:pPr>
        <w:spacing w:before="156" w:beforeLines="50" w:after="156" w:afterLines="50" w:line="360" w:lineRule="auto"/>
        <w:jc w:val="center"/>
        <w:outlineLvl w:val="1"/>
        <w:rPr>
          <w:rFonts w:ascii="黑体" w:hAnsi="黑体" w:eastAsia="黑体"/>
          <w:b/>
          <w:sz w:val="32"/>
          <w:szCs w:val="32"/>
        </w:rPr>
      </w:pPr>
      <w:bookmarkStart w:id="18" w:name="_Toc403829183"/>
      <w:bookmarkStart w:id="19" w:name="_Toc26329"/>
      <w:r>
        <w:rPr>
          <w:rFonts w:hint="eastAsia" w:ascii="黑体" w:hAnsi="黑体" w:eastAsia="黑体"/>
          <w:b/>
          <w:sz w:val="32"/>
          <w:szCs w:val="32"/>
        </w:rPr>
        <w:t xml:space="preserve">十 </w:t>
      </w:r>
      <w:r>
        <w:rPr>
          <w:rFonts w:hint="eastAsia" w:ascii="黑体" w:hAnsi="黑体" w:eastAsia="黑体"/>
          <w:b/>
          <w:sz w:val="32"/>
          <w:szCs w:val="32"/>
          <w:lang w:eastAsia="zh-CN"/>
        </w:rPr>
        <w:t>北京天地文化发展</w:t>
      </w:r>
      <w:r>
        <w:rPr>
          <w:rFonts w:hint="eastAsia" w:ascii="黑体" w:hAnsi="黑体" w:eastAsia="黑体"/>
          <w:b/>
          <w:sz w:val="32"/>
          <w:szCs w:val="32"/>
        </w:rPr>
        <w:t>基金会差旅管理制度</w:t>
      </w:r>
      <w:bookmarkEnd w:id="18"/>
      <w:bookmarkEnd w:id="19"/>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1.1为保证</w:t>
      </w:r>
      <w:r>
        <w:rPr>
          <w:rFonts w:hint="eastAsia"/>
          <w:sz w:val="24"/>
          <w:szCs w:val="24"/>
          <w:lang w:eastAsia="zh-CN"/>
        </w:rPr>
        <w:t>北京天地文化发展</w:t>
      </w:r>
      <w:r>
        <w:rPr>
          <w:rFonts w:hint="eastAsia"/>
          <w:sz w:val="24"/>
          <w:szCs w:val="24"/>
        </w:rPr>
        <w:t>基金会（以下简称“本基金会”）出差人员工作与生活的需要，规范差旅费管理，完善公务活动接待制度，特制定本制度。</w:t>
      </w:r>
    </w:p>
    <w:p>
      <w:pPr>
        <w:spacing w:line="360" w:lineRule="auto"/>
        <w:ind w:firstLine="480" w:firstLineChars="200"/>
        <w:rPr>
          <w:sz w:val="24"/>
          <w:szCs w:val="24"/>
        </w:rPr>
      </w:pPr>
      <w:r>
        <w:rPr>
          <w:rFonts w:hint="eastAsia"/>
          <w:sz w:val="24"/>
          <w:szCs w:val="24"/>
        </w:rPr>
        <w:t>1.2 本办法参照《中央国家机关和事业单位差旅费管理制度》，结合本基金会实际情况而制定。</w:t>
      </w:r>
    </w:p>
    <w:p>
      <w:pPr>
        <w:spacing w:line="360" w:lineRule="auto"/>
        <w:ind w:firstLine="480" w:firstLineChars="200"/>
        <w:rPr>
          <w:sz w:val="24"/>
          <w:szCs w:val="24"/>
        </w:rPr>
      </w:pPr>
      <w:r>
        <w:rPr>
          <w:rFonts w:hint="eastAsia"/>
          <w:sz w:val="24"/>
          <w:szCs w:val="24"/>
        </w:rPr>
        <w:t>1.3 差旅费开支范围包括城市间交通费、住宿费、伙食费。</w:t>
      </w:r>
    </w:p>
    <w:p>
      <w:pPr>
        <w:spacing w:line="360" w:lineRule="auto"/>
        <w:ind w:firstLine="480" w:firstLineChars="200"/>
        <w:rPr>
          <w:sz w:val="24"/>
          <w:szCs w:val="24"/>
        </w:rPr>
      </w:pPr>
      <w:r>
        <w:rPr>
          <w:rFonts w:hint="eastAsia"/>
          <w:sz w:val="24"/>
          <w:szCs w:val="24"/>
        </w:rPr>
        <w:t>1.4 城市间交通费、住宿费和伙食费均在规定标准内凭据报销。</w:t>
      </w:r>
    </w:p>
    <w:p>
      <w:pPr>
        <w:spacing w:line="360" w:lineRule="auto"/>
        <w:ind w:firstLine="480" w:firstLineChars="200"/>
        <w:rPr>
          <w:sz w:val="24"/>
          <w:szCs w:val="24"/>
        </w:rPr>
      </w:pPr>
      <w:r>
        <w:rPr>
          <w:rFonts w:hint="eastAsia"/>
          <w:sz w:val="24"/>
          <w:szCs w:val="24"/>
        </w:rPr>
        <w:t>1.5 各部门要建立健全出差审批管理制度，严格控制出差人数和天数。出差前，须提前向部门负责人提出申请，填写《出差申请表》，注明出差时间、地点、事由、费用预算等，经部门负责人和秘书长批准后方可出差，秘书长出差由理事长批准。</w:t>
      </w:r>
    </w:p>
    <w:p>
      <w:pPr>
        <w:spacing w:line="360" w:lineRule="auto"/>
        <w:ind w:firstLine="480" w:firstLineChars="200"/>
        <w:rPr>
          <w:sz w:val="24"/>
          <w:szCs w:val="24"/>
        </w:rPr>
      </w:pPr>
      <w:r>
        <w:rPr>
          <w:rFonts w:hint="eastAsia"/>
          <w:sz w:val="24"/>
          <w:szCs w:val="24"/>
        </w:rPr>
        <w:t>1.6 出差结束返回北京后，需在规定时间内完成差旅费用的报销，并完成《出差总结报告》后报主管领导审阅并与同事分享。</w:t>
      </w:r>
    </w:p>
    <w:p>
      <w:pPr>
        <w:spacing w:line="360" w:lineRule="auto"/>
        <w:ind w:firstLine="480" w:firstLineChars="200"/>
        <w:rPr>
          <w:rFonts w:hint="default" w:ascii="微软雅黑" w:hAnsi="微软雅黑" w:eastAsia="微软雅黑"/>
          <w:b/>
          <w:sz w:val="24"/>
          <w:szCs w:val="24"/>
          <w:lang w:val="en-US" w:eastAsia="zh-CN"/>
        </w:rPr>
      </w:pPr>
      <w:r>
        <w:rPr>
          <w:rFonts w:hint="eastAsia" w:ascii="微软雅黑" w:hAnsi="微软雅黑" w:eastAsia="微软雅黑"/>
          <w:b/>
          <w:sz w:val="24"/>
          <w:szCs w:val="24"/>
        </w:rPr>
        <w:t>2. 城市间交通</w:t>
      </w:r>
      <w:r>
        <w:rPr>
          <w:rFonts w:hint="eastAsia" w:ascii="微软雅黑" w:hAnsi="微软雅黑" w:eastAsia="微软雅黑"/>
          <w:b/>
          <w:sz w:val="24"/>
          <w:szCs w:val="24"/>
          <w:lang w:val="en-US" w:eastAsia="zh-CN"/>
        </w:rPr>
        <w:t xml:space="preserve">  </w:t>
      </w:r>
    </w:p>
    <w:p>
      <w:pPr>
        <w:spacing w:line="360" w:lineRule="auto"/>
        <w:ind w:firstLine="480" w:firstLineChars="200"/>
        <w:rPr>
          <w:sz w:val="24"/>
          <w:szCs w:val="24"/>
        </w:rPr>
      </w:pPr>
      <w:r>
        <w:rPr>
          <w:rFonts w:hint="eastAsia"/>
          <w:sz w:val="24"/>
          <w:szCs w:val="24"/>
        </w:rPr>
        <w:t>2.1 出差人员要按照规定乘坐交通工具，出差人员乘坐飞机要从严控制，出差路途较远或出差任务紧急的，方可乘坐飞机；</w:t>
      </w:r>
    </w:p>
    <w:p>
      <w:pPr>
        <w:spacing w:line="360" w:lineRule="auto"/>
        <w:ind w:firstLine="480" w:firstLineChars="200"/>
        <w:rPr>
          <w:sz w:val="24"/>
          <w:szCs w:val="24"/>
        </w:rPr>
      </w:pPr>
      <w:r>
        <w:rPr>
          <w:rFonts w:hint="eastAsia"/>
          <w:sz w:val="24"/>
          <w:szCs w:val="24"/>
        </w:rPr>
        <w:t>2.2 员工出差由综合管理部或各办事处行政人员统一安排预定酒店和火车票（机票），并尽早提前预订以获取优惠的折扣；</w:t>
      </w:r>
    </w:p>
    <w:p>
      <w:pPr>
        <w:spacing w:line="360" w:lineRule="auto"/>
        <w:ind w:firstLine="480" w:firstLineChars="200"/>
        <w:rPr>
          <w:sz w:val="24"/>
          <w:szCs w:val="24"/>
        </w:rPr>
      </w:pPr>
      <w:r>
        <w:rPr>
          <w:rFonts w:hint="eastAsia"/>
          <w:sz w:val="24"/>
          <w:szCs w:val="24"/>
        </w:rPr>
        <w:t>2.3 乘坐火车6小时以上的，可购硬卧票。符合规定而未购买卧铺票的，按实际乘坐的硬座票价的80％给予补助；</w:t>
      </w:r>
    </w:p>
    <w:p>
      <w:pPr>
        <w:spacing w:line="360" w:lineRule="auto"/>
        <w:ind w:firstLine="480" w:firstLineChars="200"/>
        <w:rPr>
          <w:sz w:val="24"/>
          <w:szCs w:val="24"/>
        </w:rPr>
      </w:pPr>
      <w:r>
        <w:rPr>
          <w:rFonts w:hint="eastAsia"/>
          <w:sz w:val="24"/>
          <w:szCs w:val="24"/>
        </w:rPr>
        <w:t>2.4 乘坐飞机的，往返机场的专线客车费用、民航机场管理建设费和航空旅客人身意外伤害保险费（限每人每次一份），凭据报销；</w:t>
      </w:r>
    </w:p>
    <w:p>
      <w:pPr>
        <w:spacing w:line="360" w:lineRule="auto"/>
        <w:ind w:firstLine="480" w:firstLineChars="200"/>
        <w:rPr>
          <w:sz w:val="24"/>
          <w:szCs w:val="24"/>
        </w:rPr>
      </w:pPr>
      <w:r>
        <w:rPr>
          <w:rFonts w:hint="eastAsia"/>
          <w:sz w:val="24"/>
          <w:szCs w:val="24"/>
        </w:rPr>
        <w:t xml:space="preserve">2.5 出差人员补助50元/天，根据项目预算规定，可适当调整出差补助，最多不超过200元。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 出差住宿</w:t>
      </w:r>
    </w:p>
    <w:p>
      <w:pPr>
        <w:spacing w:line="360" w:lineRule="auto"/>
        <w:ind w:firstLine="480" w:firstLineChars="200"/>
        <w:rPr>
          <w:sz w:val="24"/>
          <w:szCs w:val="24"/>
        </w:rPr>
      </w:pPr>
      <w:r>
        <w:rPr>
          <w:rFonts w:hint="eastAsia"/>
          <w:sz w:val="24"/>
          <w:szCs w:val="24"/>
        </w:rPr>
        <w:t>3.1 基金会根据各地的经济发展水平和物价水平，分别确定各级别人员的住宿费开支标准上限；</w:t>
      </w:r>
    </w:p>
    <w:p>
      <w:pPr>
        <w:spacing w:line="360" w:lineRule="auto"/>
        <w:ind w:firstLine="480" w:firstLineChars="200"/>
        <w:rPr>
          <w:sz w:val="24"/>
          <w:szCs w:val="24"/>
        </w:rPr>
      </w:pPr>
      <w:r>
        <w:rPr>
          <w:rFonts w:hint="eastAsia"/>
          <w:sz w:val="24"/>
          <w:szCs w:val="24"/>
        </w:rPr>
        <w:t>3.2 出差暂不实行定点住宿，其住宿费在出差地住宿费开支标准上限以内凭据报销；</w:t>
      </w:r>
    </w:p>
    <w:p>
      <w:pPr>
        <w:spacing w:line="360" w:lineRule="auto"/>
        <w:ind w:firstLine="480" w:firstLineChars="200"/>
        <w:rPr>
          <w:sz w:val="24"/>
          <w:szCs w:val="24"/>
        </w:rPr>
      </w:pPr>
      <w:r>
        <w:rPr>
          <w:rFonts w:hint="eastAsia"/>
          <w:sz w:val="24"/>
          <w:szCs w:val="24"/>
        </w:rPr>
        <w:t>3.3 出差人员不能使用酒店宾馆房间内的酒水及其它服务项目，由此引起的费用由出差人员个人支付；</w:t>
      </w:r>
    </w:p>
    <w:p>
      <w:pPr>
        <w:spacing w:line="360" w:lineRule="auto"/>
        <w:ind w:firstLine="480" w:firstLineChars="200"/>
        <w:rPr>
          <w:sz w:val="24"/>
          <w:szCs w:val="24"/>
        </w:rPr>
      </w:pPr>
      <w:r>
        <w:rPr>
          <w:rFonts w:hint="eastAsia"/>
          <w:sz w:val="24"/>
          <w:szCs w:val="24"/>
        </w:rPr>
        <w:t>3.4 出差人员住宿期间发生的房间内座机电话费用，将计入个人住宿费报销额度，超出额度的部分费用自理；</w:t>
      </w:r>
    </w:p>
    <w:p>
      <w:pPr>
        <w:spacing w:line="360" w:lineRule="auto"/>
        <w:ind w:firstLine="480" w:firstLineChars="200"/>
        <w:rPr>
          <w:sz w:val="24"/>
          <w:szCs w:val="24"/>
        </w:rPr>
      </w:pPr>
      <w:r>
        <w:rPr>
          <w:rFonts w:hint="eastAsia"/>
          <w:sz w:val="24"/>
          <w:szCs w:val="24"/>
        </w:rPr>
        <w:t>3.5 住宿超标时，须事先经部门经理批准，说明原因并经相关审批人员签字确认，否则超出部分费用自理；</w:t>
      </w:r>
    </w:p>
    <w:p>
      <w:pPr>
        <w:spacing w:line="360" w:lineRule="auto"/>
        <w:ind w:firstLine="480" w:firstLineChars="200"/>
        <w:rPr>
          <w:sz w:val="24"/>
          <w:szCs w:val="24"/>
        </w:rPr>
      </w:pPr>
      <w:r>
        <w:rPr>
          <w:rFonts w:hint="eastAsia"/>
          <w:sz w:val="24"/>
          <w:szCs w:val="24"/>
        </w:rPr>
        <w:t xml:space="preserve">3.6 出差人员无住宿费发票，一律不予报销住宿费。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 出差伙食</w:t>
      </w:r>
    </w:p>
    <w:p>
      <w:pPr>
        <w:spacing w:line="360" w:lineRule="auto"/>
        <w:ind w:firstLine="480" w:firstLineChars="200"/>
        <w:rPr>
          <w:sz w:val="24"/>
          <w:szCs w:val="24"/>
        </w:rPr>
      </w:pPr>
      <w:r>
        <w:rPr>
          <w:rFonts w:hint="eastAsia"/>
          <w:sz w:val="24"/>
          <w:szCs w:val="24"/>
        </w:rPr>
        <w:t>4.1 出差人员的伙食费本着节约、合理的原则，在限定的标准内据实报销；</w:t>
      </w:r>
    </w:p>
    <w:p>
      <w:pPr>
        <w:spacing w:line="360" w:lineRule="auto"/>
        <w:ind w:firstLine="480" w:firstLineChars="200"/>
        <w:rPr>
          <w:sz w:val="24"/>
          <w:szCs w:val="24"/>
        </w:rPr>
      </w:pPr>
      <w:r>
        <w:rPr>
          <w:rFonts w:hint="eastAsia"/>
          <w:sz w:val="24"/>
          <w:szCs w:val="24"/>
        </w:rPr>
        <w:t>4.2 出差人员由接待单位统一安排伙食的，不得额外报销。出差人员向接待单位交纳伙食费，回所在单位如实申报。</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 xml:space="preserve"> 5. 参加会议等的差旅费</w:t>
      </w:r>
    </w:p>
    <w:p>
      <w:pPr>
        <w:spacing w:line="360" w:lineRule="auto"/>
        <w:ind w:firstLine="480" w:firstLineChars="200"/>
        <w:rPr>
          <w:sz w:val="24"/>
          <w:szCs w:val="24"/>
        </w:rPr>
      </w:pPr>
      <w:r>
        <w:rPr>
          <w:rFonts w:hint="eastAsia"/>
          <w:sz w:val="24"/>
          <w:szCs w:val="24"/>
        </w:rPr>
        <w:t>5.1 工作人员外出参加会议，会议统一安排食宿的，会议期间的住宿费、伙食补助费和公杂费由会议主办单位按会议费规定统一开支，在途期间的住宿费和伙食补助费回所在单位按照差旅费规定报销；</w:t>
      </w:r>
    </w:p>
    <w:p>
      <w:pPr>
        <w:spacing w:line="360" w:lineRule="auto"/>
        <w:ind w:firstLine="480" w:firstLineChars="200"/>
        <w:rPr>
          <w:sz w:val="24"/>
          <w:szCs w:val="24"/>
        </w:rPr>
      </w:pPr>
      <w:r>
        <w:rPr>
          <w:rFonts w:hint="eastAsia"/>
          <w:sz w:val="24"/>
          <w:szCs w:val="24"/>
        </w:rPr>
        <w:t xml:space="preserve">5.2 小型调查研究会等不统一安排食宿的，会议期间和在途期间的住宿费、伙食补助费均回所在单位按照差旅费规定报销。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6. 对报销票据的要求</w:t>
      </w:r>
    </w:p>
    <w:p>
      <w:pPr>
        <w:spacing w:line="360" w:lineRule="auto"/>
        <w:ind w:firstLine="480" w:firstLineChars="200"/>
        <w:rPr>
          <w:sz w:val="24"/>
          <w:szCs w:val="24"/>
        </w:rPr>
      </w:pPr>
      <w:r>
        <w:rPr>
          <w:rFonts w:hint="eastAsia"/>
          <w:sz w:val="24"/>
          <w:szCs w:val="24"/>
        </w:rPr>
        <w:t>6.1 报销票据严格按照以下要求提供，不合格的发票一律不予报销。</w:t>
      </w:r>
    </w:p>
    <w:p>
      <w:pPr>
        <w:spacing w:line="360" w:lineRule="auto"/>
        <w:ind w:firstLine="480" w:firstLineChars="200"/>
        <w:rPr>
          <w:sz w:val="24"/>
          <w:szCs w:val="24"/>
        </w:rPr>
      </w:pPr>
      <w:r>
        <w:rPr>
          <w:rFonts w:hint="eastAsia"/>
          <w:sz w:val="24"/>
          <w:szCs w:val="24"/>
        </w:rPr>
        <w:t>6.1.1 报销人员所报票据必须是正式的、有税务监制字样的票据。除行政性收费外，不得以收款收据作为报销凭证；报销凭证上应盖有清晰的财务专用章（或发票专用章）戳记，并注意票据上所附的各种说明，如“无专用章无效”、“不得作为报销凭证”等字样。</w:t>
      </w:r>
    </w:p>
    <w:p>
      <w:pPr>
        <w:spacing w:line="360" w:lineRule="auto"/>
        <w:ind w:firstLine="420" w:firstLineChars="0"/>
        <w:rPr>
          <w:sz w:val="24"/>
          <w:szCs w:val="24"/>
        </w:rPr>
      </w:pPr>
      <w:r>
        <w:rPr>
          <w:rFonts w:hint="eastAsia"/>
          <w:sz w:val="24"/>
          <w:szCs w:val="24"/>
        </w:rPr>
        <w:t>6.1.2 除定额发票、机打发票外，其余票据都必须是经复写纸一次性套写清楚的发票，发票上的要素要完整，否则财务不予报销。（1）发票抬头：</w:t>
      </w:r>
      <w:r>
        <w:rPr>
          <w:rFonts w:hint="eastAsia"/>
          <w:sz w:val="24"/>
          <w:szCs w:val="24"/>
          <w:lang w:eastAsia="zh-CN"/>
        </w:rPr>
        <w:t>北京天地</w:t>
      </w:r>
      <w:r>
        <w:rPr>
          <w:rFonts w:hint="eastAsia"/>
          <w:sz w:val="24"/>
          <w:szCs w:val="24"/>
          <w:lang w:val="en-US" w:eastAsia="zh-CN"/>
        </w:rPr>
        <w:t>文化发展</w:t>
      </w:r>
      <w:r>
        <w:rPr>
          <w:rFonts w:hint="eastAsia"/>
          <w:sz w:val="24"/>
          <w:szCs w:val="24"/>
        </w:rPr>
        <w:t>基金会；</w:t>
      </w:r>
      <w:r>
        <w:rPr>
          <w:rFonts w:hint="eastAsia" w:ascii="宋体" w:hAnsi="宋体" w:eastAsia="宋体" w:cs="宋体"/>
          <w:color w:val="000000"/>
          <w:sz w:val="24"/>
          <w:szCs w:val="24"/>
          <w:shd w:val="clear" w:color="auto" w:fill="FFFFFF"/>
        </w:rPr>
        <w:t xml:space="preserve">税务登记证号：53110000MJ0176304H </w:t>
      </w:r>
      <w:r>
        <w:rPr>
          <w:rFonts w:hint="eastAsia" w:ascii="宋体" w:hAnsi="宋体" w:eastAsia="宋体" w:cs="宋体"/>
          <w:color w:val="000000"/>
          <w:sz w:val="24"/>
          <w:szCs w:val="24"/>
          <w:shd w:val="clear" w:color="auto" w:fill="FFFFFF"/>
          <w:lang w:eastAsia="zh-CN"/>
        </w:rPr>
        <w:t>；</w:t>
      </w:r>
      <w:r>
        <w:rPr>
          <w:rFonts w:hint="eastAsia" w:ascii="宋体" w:hAnsi="宋体" w:eastAsia="宋体" w:cs="宋体"/>
          <w:color w:val="000000"/>
          <w:sz w:val="24"/>
          <w:szCs w:val="24"/>
          <w:highlight w:val="none"/>
          <w:shd w:val="clear" w:color="auto" w:fill="FFFFFF"/>
          <w:lang w:val="en-US" w:eastAsia="zh-CN"/>
        </w:rPr>
        <w:t>基</w:t>
      </w:r>
      <w:r>
        <w:rPr>
          <w:rFonts w:hint="eastAsia" w:ascii="宋体" w:hAnsi="宋体" w:eastAsia="宋体" w:cs="宋体"/>
          <w:color w:val="000000"/>
          <w:sz w:val="24"/>
          <w:szCs w:val="24"/>
          <w:highlight w:val="none"/>
          <w:shd w:val="clear" w:color="auto" w:fill="FFFFFF"/>
        </w:rPr>
        <w:t>本开户银行名称：中国工商银行北京国奥村支行</w:t>
      </w: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rPr>
        <w:t>基本开户账号：0200229409200007141</w:t>
      </w: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rPr>
        <w:t>注册场所地址：北京市海淀区马连洼北路158号1号楼3层01A</w:t>
      </w:r>
      <w:r>
        <w:rPr>
          <w:rFonts w:hint="eastAsia" w:ascii="宋体" w:hAnsi="宋体" w:eastAsia="宋体" w:cs="宋体"/>
          <w:color w:val="000000"/>
          <w:sz w:val="24"/>
          <w:szCs w:val="24"/>
          <w:highlight w:val="none"/>
          <w:shd w:val="clear" w:color="auto" w:fill="FFFFFF"/>
          <w:lang w:eastAsia="zh-CN"/>
        </w:rPr>
        <w:t>；</w:t>
      </w:r>
      <w:r>
        <w:rPr>
          <w:rFonts w:hint="eastAsia"/>
          <w:sz w:val="24"/>
          <w:szCs w:val="24"/>
        </w:rPr>
        <w:t>（2）大小写金额一致，剪裁式发票的“剪口”金额与填写金额要一致，如有不符，报销无效；（3）发票日期要完整；（4）经济业务内容要清楚（包括数量、单价）；（5）发票不得涂改、刮擦、挖补。发票有错误的，应该由开票单位重开或更正，更正处应加盖开具单位印。机打发票错误的，发票金额有误的必须重开。</w:t>
      </w:r>
    </w:p>
    <w:p>
      <w:pPr>
        <w:spacing w:line="360" w:lineRule="auto"/>
        <w:ind w:firstLine="480" w:firstLineChars="200"/>
        <w:rPr>
          <w:sz w:val="24"/>
          <w:szCs w:val="24"/>
        </w:rPr>
      </w:pPr>
      <w:r>
        <w:rPr>
          <w:rFonts w:hint="eastAsia"/>
          <w:sz w:val="24"/>
          <w:szCs w:val="24"/>
        </w:rPr>
        <w:t>6.2 经办人收到发票时必须对发票真伪进行查询，具体查询方式包括电话查询、网站查询等方式。</w:t>
      </w:r>
    </w:p>
    <w:p>
      <w:pPr>
        <w:spacing w:line="360" w:lineRule="auto"/>
        <w:ind w:firstLine="480" w:firstLineChars="200"/>
        <w:rPr>
          <w:sz w:val="24"/>
          <w:szCs w:val="24"/>
        </w:rPr>
      </w:pPr>
      <w:r>
        <w:rPr>
          <w:rFonts w:hint="eastAsia"/>
          <w:sz w:val="24"/>
          <w:szCs w:val="24"/>
        </w:rPr>
        <w:t>6.3 经财务部门审核鉴定属于假发票的，经办人必须更换发票，否则不予报销。</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7. 报销时间和程序</w:t>
      </w:r>
    </w:p>
    <w:p>
      <w:pPr>
        <w:spacing w:line="360" w:lineRule="auto"/>
        <w:ind w:firstLine="480" w:firstLineChars="200"/>
        <w:rPr>
          <w:sz w:val="24"/>
          <w:szCs w:val="24"/>
        </w:rPr>
      </w:pPr>
      <w:r>
        <w:rPr>
          <w:rFonts w:hint="eastAsia"/>
          <w:sz w:val="24"/>
          <w:szCs w:val="24"/>
        </w:rPr>
        <w:t>7.1 出差报销单送交财务部时间：出差人员应在返京后应在五个工作日内填写《费用报销单》，附上完整、正规的发票单据并遵循相关程序审批报销。前款不清，后款不借。</w:t>
      </w:r>
    </w:p>
    <w:p>
      <w:pPr>
        <w:spacing w:line="360" w:lineRule="auto"/>
        <w:ind w:firstLine="480" w:firstLineChars="200"/>
        <w:rPr>
          <w:sz w:val="24"/>
          <w:szCs w:val="24"/>
        </w:rPr>
      </w:pPr>
      <w:r>
        <w:rPr>
          <w:rFonts w:hint="eastAsia"/>
          <w:sz w:val="24"/>
          <w:szCs w:val="24"/>
        </w:rPr>
        <w:t>8.2 报销的审批程序参照《财务管理制度》现金管理规定。</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8．附则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r>
        <w:rPr>
          <w:sz w:val="24"/>
          <w:szCs w:val="24"/>
        </w:rPr>
        <w:t xml:space="preserve"> </w:t>
      </w: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before="156" w:beforeLines="50" w:after="156" w:afterLines="50" w:line="360" w:lineRule="auto"/>
        <w:jc w:val="center"/>
        <w:outlineLvl w:val="1"/>
        <w:rPr>
          <w:rFonts w:ascii="黑体" w:hAnsi="黑体" w:eastAsia="黑体"/>
          <w:b/>
          <w:sz w:val="32"/>
          <w:szCs w:val="32"/>
        </w:rPr>
      </w:pPr>
      <w:bookmarkStart w:id="20" w:name="_Toc403829184"/>
      <w:bookmarkStart w:id="21" w:name="_Toc21697"/>
      <w:r>
        <w:rPr>
          <w:rFonts w:hint="eastAsia" w:ascii="黑体" w:hAnsi="黑体" w:eastAsia="黑体"/>
          <w:b/>
          <w:sz w:val="32"/>
          <w:szCs w:val="32"/>
        </w:rPr>
        <w:t xml:space="preserve">十一 </w:t>
      </w:r>
      <w:r>
        <w:rPr>
          <w:rFonts w:hint="eastAsia" w:ascii="黑体" w:hAnsi="黑体" w:eastAsia="黑体"/>
          <w:b/>
          <w:sz w:val="32"/>
          <w:szCs w:val="32"/>
          <w:lang w:eastAsia="zh-CN"/>
        </w:rPr>
        <w:t>北京天地文化发展</w:t>
      </w:r>
      <w:r>
        <w:rPr>
          <w:rFonts w:hint="eastAsia" w:ascii="黑体" w:hAnsi="黑体" w:eastAsia="黑体"/>
          <w:b/>
          <w:sz w:val="32"/>
          <w:szCs w:val="32"/>
        </w:rPr>
        <w:t>基金会办公用品管理制度</w:t>
      </w:r>
      <w:bookmarkEnd w:id="20"/>
      <w:bookmarkEnd w:id="21"/>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w:t>
      </w:r>
      <w:r>
        <w:rPr>
          <w:rFonts w:hint="eastAsia" w:ascii="微软雅黑" w:hAnsi="微软雅黑" w:eastAsia="微软雅黑"/>
          <w:b/>
          <w:sz w:val="24"/>
          <w:szCs w:val="24"/>
        </w:rPr>
        <w:tab/>
      </w:r>
      <w:r>
        <w:rPr>
          <w:rFonts w:hint="eastAsia" w:ascii="微软雅黑" w:hAnsi="微软雅黑" w:eastAsia="微软雅黑"/>
          <w:b/>
          <w:sz w:val="24"/>
          <w:szCs w:val="24"/>
        </w:rPr>
        <w:t>总则</w:t>
      </w:r>
    </w:p>
    <w:p>
      <w:pPr>
        <w:spacing w:line="360" w:lineRule="auto"/>
        <w:ind w:firstLine="480" w:firstLineChars="200"/>
        <w:rPr>
          <w:sz w:val="24"/>
          <w:szCs w:val="24"/>
        </w:rPr>
      </w:pPr>
      <w:r>
        <w:rPr>
          <w:rFonts w:hint="eastAsia"/>
          <w:sz w:val="24"/>
          <w:szCs w:val="24"/>
        </w:rPr>
        <w:t>1. 为规范</w:t>
      </w:r>
      <w:r>
        <w:rPr>
          <w:rFonts w:hint="eastAsia"/>
          <w:sz w:val="24"/>
          <w:szCs w:val="24"/>
          <w:lang w:eastAsia="zh-CN"/>
        </w:rPr>
        <w:t>北京天地文化发展</w:t>
      </w:r>
      <w:r>
        <w:rPr>
          <w:rFonts w:hint="eastAsia"/>
          <w:sz w:val="24"/>
          <w:szCs w:val="24"/>
        </w:rPr>
        <w:t>基金会（以下简称“本基金会”）办公用品的申购、入库、保管、发放、使用、报废、盘存、交接程序，使之管理有序，责任明确，节俭节约，避免浪费，特制订本制度。</w:t>
      </w:r>
    </w:p>
    <w:p>
      <w:pPr>
        <w:spacing w:line="360" w:lineRule="auto"/>
        <w:ind w:firstLine="480" w:firstLineChars="200"/>
        <w:rPr>
          <w:sz w:val="24"/>
          <w:szCs w:val="24"/>
        </w:rPr>
      </w:pPr>
      <w:r>
        <w:rPr>
          <w:rFonts w:hint="eastAsia"/>
          <w:sz w:val="24"/>
          <w:szCs w:val="24"/>
        </w:rPr>
        <w:t>1.2 员工应对办公用品本着勤俭节约、杜绝浪费的原则。办公用品应为办公所用，不得据为己有，挪作私用。</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 办公用品分类</w:t>
      </w:r>
    </w:p>
    <w:p>
      <w:pPr>
        <w:spacing w:line="360" w:lineRule="auto"/>
        <w:ind w:firstLine="480" w:firstLineChars="200"/>
        <w:rPr>
          <w:sz w:val="24"/>
          <w:szCs w:val="24"/>
        </w:rPr>
      </w:pPr>
      <w:r>
        <w:rPr>
          <w:rFonts w:hint="eastAsia"/>
          <w:sz w:val="24"/>
          <w:szCs w:val="24"/>
        </w:rPr>
        <w:t>2.1</w:t>
      </w:r>
      <w:r>
        <w:rPr>
          <w:rFonts w:hint="eastAsia"/>
          <w:sz w:val="24"/>
          <w:szCs w:val="24"/>
        </w:rPr>
        <w:tab/>
      </w:r>
      <w:r>
        <w:rPr>
          <w:rFonts w:hint="eastAsia"/>
          <w:sz w:val="24"/>
          <w:szCs w:val="24"/>
        </w:rPr>
        <w:t>按使用的性质分为低值易耗品和高值耐用品两类。</w:t>
      </w:r>
    </w:p>
    <w:p>
      <w:pPr>
        <w:spacing w:line="360" w:lineRule="auto"/>
        <w:ind w:firstLine="480" w:firstLineChars="200"/>
        <w:rPr>
          <w:sz w:val="24"/>
          <w:szCs w:val="24"/>
        </w:rPr>
      </w:pPr>
      <w:r>
        <w:rPr>
          <w:rFonts w:hint="eastAsia"/>
          <w:sz w:val="24"/>
          <w:szCs w:val="24"/>
        </w:rPr>
        <w:t>2.2 低值易耗品主要指：签字笔、铅笔、橡皮、直尺、涂改带、夹子、名片、档案盒、电池、胶水、胶带、白板笔、曲别针、记号笔、笔记本、插线板、剪刀、订书机、订书钉、计算器、电话机、各类文件夹、裁纸刀、便签纸、光盘、打印纸等价值较低的日常用品；</w:t>
      </w:r>
    </w:p>
    <w:p>
      <w:pPr>
        <w:spacing w:line="360" w:lineRule="auto"/>
        <w:ind w:firstLine="480" w:firstLineChars="200"/>
        <w:rPr>
          <w:sz w:val="24"/>
          <w:szCs w:val="24"/>
        </w:rPr>
      </w:pPr>
      <w:r>
        <w:rPr>
          <w:rFonts w:hint="eastAsia"/>
          <w:sz w:val="24"/>
          <w:szCs w:val="24"/>
        </w:rPr>
        <w:t>2.3 高值耐用品为：电脑、打印机、传真机、文件柜、空调、相机、投影仪、办公桌椅、碎纸机、移动硬盘、U盘等价值较高的物品。</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 办公用品管理部门</w:t>
      </w:r>
    </w:p>
    <w:p>
      <w:pPr>
        <w:spacing w:line="360" w:lineRule="auto"/>
        <w:ind w:firstLine="480" w:firstLineChars="200"/>
        <w:rPr>
          <w:sz w:val="24"/>
          <w:szCs w:val="24"/>
        </w:rPr>
      </w:pPr>
      <w:r>
        <w:rPr>
          <w:rFonts w:hint="eastAsia"/>
          <w:sz w:val="24"/>
          <w:szCs w:val="24"/>
        </w:rPr>
        <w:t>3.1</w:t>
      </w:r>
      <w:r>
        <w:rPr>
          <w:rFonts w:hint="eastAsia"/>
          <w:sz w:val="24"/>
          <w:szCs w:val="24"/>
        </w:rPr>
        <w:tab/>
      </w:r>
      <w:r>
        <w:rPr>
          <w:rFonts w:hint="eastAsia"/>
          <w:sz w:val="24"/>
          <w:szCs w:val="24"/>
        </w:rPr>
        <w:t>基金会办公用品统一归综合管理部管理。</w:t>
      </w:r>
    </w:p>
    <w:p>
      <w:pPr>
        <w:spacing w:line="360" w:lineRule="auto"/>
        <w:ind w:firstLine="480" w:firstLineChars="200"/>
        <w:rPr>
          <w:sz w:val="24"/>
          <w:szCs w:val="24"/>
        </w:rPr>
      </w:pPr>
      <w:r>
        <w:rPr>
          <w:rFonts w:hint="eastAsia"/>
          <w:sz w:val="24"/>
          <w:szCs w:val="24"/>
        </w:rPr>
        <w:t>3.2 日常办公用品购买、入库和领用由前台负责统一管理。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4．办公用品申请</w:t>
      </w:r>
    </w:p>
    <w:p>
      <w:pPr>
        <w:spacing w:line="360" w:lineRule="auto"/>
        <w:ind w:firstLine="480" w:firstLineChars="200"/>
        <w:rPr>
          <w:sz w:val="24"/>
          <w:szCs w:val="24"/>
        </w:rPr>
      </w:pPr>
      <w:r>
        <w:rPr>
          <w:rFonts w:hint="eastAsia"/>
          <w:sz w:val="24"/>
          <w:szCs w:val="24"/>
        </w:rPr>
        <w:t>4.1</w:t>
      </w:r>
      <w:r>
        <w:rPr>
          <w:rFonts w:hint="eastAsia"/>
          <w:sz w:val="24"/>
          <w:szCs w:val="24"/>
        </w:rPr>
        <w:tab/>
      </w:r>
      <w:r>
        <w:rPr>
          <w:rFonts w:hint="eastAsia"/>
          <w:sz w:val="24"/>
          <w:szCs w:val="24"/>
        </w:rPr>
        <w:t>办公用品的采买或者领用申请需要填写《办公用品领用登记表》。</w:t>
      </w:r>
    </w:p>
    <w:p>
      <w:pPr>
        <w:spacing w:line="360" w:lineRule="auto"/>
        <w:ind w:firstLine="480" w:firstLineChars="200"/>
        <w:rPr>
          <w:sz w:val="24"/>
          <w:szCs w:val="24"/>
        </w:rPr>
      </w:pPr>
      <w:r>
        <w:rPr>
          <w:rFonts w:hint="eastAsia"/>
          <w:sz w:val="24"/>
          <w:szCs w:val="24"/>
        </w:rPr>
        <w:t>4.2</w:t>
      </w:r>
      <w:r>
        <w:rPr>
          <w:rFonts w:hint="eastAsia"/>
          <w:sz w:val="24"/>
          <w:szCs w:val="24"/>
        </w:rPr>
        <w:tab/>
      </w:r>
      <w:r>
        <w:rPr>
          <w:rFonts w:hint="eastAsia"/>
          <w:sz w:val="24"/>
          <w:szCs w:val="24"/>
        </w:rPr>
        <w:t>低值易耗品由前台负责统计和采买，各部门可根据实际办公需要，及时提出采买申请。</w:t>
      </w:r>
    </w:p>
    <w:p>
      <w:pPr>
        <w:spacing w:line="360" w:lineRule="auto"/>
        <w:ind w:firstLine="480" w:firstLineChars="200"/>
        <w:rPr>
          <w:sz w:val="24"/>
          <w:szCs w:val="24"/>
        </w:rPr>
      </w:pPr>
      <w:r>
        <w:rPr>
          <w:rFonts w:hint="eastAsia"/>
          <w:sz w:val="24"/>
          <w:szCs w:val="24"/>
        </w:rPr>
        <w:t>4.3</w:t>
      </w:r>
      <w:r>
        <w:rPr>
          <w:rFonts w:hint="eastAsia"/>
          <w:sz w:val="24"/>
          <w:szCs w:val="24"/>
        </w:rPr>
        <w:tab/>
      </w:r>
      <w:r>
        <w:rPr>
          <w:rFonts w:hint="eastAsia"/>
          <w:sz w:val="24"/>
          <w:szCs w:val="24"/>
        </w:rPr>
        <w:t>高值保管品申购需向领导提出申请，经批准后由相关负责人统一添置。</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 办公用品采购</w:t>
      </w:r>
    </w:p>
    <w:p>
      <w:pPr>
        <w:spacing w:line="360" w:lineRule="auto"/>
        <w:ind w:firstLine="480" w:firstLineChars="200"/>
        <w:rPr>
          <w:sz w:val="24"/>
          <w:szCs w:val="24"/>
        </w:rPr>
      </w:pPr>
      <w:r>
        <w:rPr>
          <w:rFonts w:hint="eastAsia"/>
          <w:sz w:val="24"/>
          <w:szCs w:val="24"/>
        </w:rPr>
        <w:t>5.1 采购办公用品应把握好办公用品的价格行情并做好供应商的比较、甄选工作，尽最大可能控制好办公用品的采购成本。</w:t>
      </w:r>
    </w:p>
    <w:p>
      <w:pPr>
        <w:spacing w:line="360" w:lineRule="auto"/>
        <w:ind w:firstLine="480" w:firstLineChars="200"/>
        <w:rPr>
          <w:sz w:val="24"/>
          <w:szCs w:val="24"/>
        </w:rPr>
      </w:pPr>
      <w:r>
        <w:rPr>
          <w:rFonts w:hint="eastAsia"/>
          <w:sz w:val="24"/>
          <w:szCs w:val="24"/>
        </w:rPr>
        <w:t>5.2 前台将根据基金会日常办公需要，对一些常用的办公用品进行批量购买，在办公室保持一定库存，以保证正常办公需要的及时满足，提高供给效率。</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6. 办公用品入库管理</w:t>
      </w:r>
    </w:p>
    <w:p>
      <w:pPr>
        <w:spacing w:line="360" w:lineRule="auto"/>
        <w:ind w:firstLine="480" w:firstLineChars="200"/>
        <w:rPr>
          <w:sz w:val="24"/>
          <w:szCs w:val="24"/>
        </w:rPr>
      </w:pPr>
      <w:r>
        <w:rPr>
          <w:rFonts w:hint="eastAsia"/>
          <w:sz w:val="24"/>
          <w:szCs w:val="24"/>
        </w:rPr>
        <w:t>6.1</w:t>
      </w:r>
      <w:r>
        <w:rPr>
          <w:rFonts w:hint="eastAsia"/>
          <w:sz w:val="24"/>
          <w:szCs w:val="24"/>
        </w:rPr>
        <w:tab/>
      </w:r>
      <w:r>
        <w:rPr>
          <w:rFonts w:hint="eastAsia"/>
          <w:sz w:val="24"/>
          <w:szCs w:val="24"/>
        </w:rPr>
        <w:t>在供应商送来所购的办公用品后，应由前台统一签收、入库登记、保管和发放。</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7. 办公用品保管</w:t>
      </w:r>
    </w:p>
    <w:p>
      <w:pPr>
        <w:spacing w:line="360" w:lineRule="auto"/>
        <w:ind w:firstLine="480" w:firstLineChars="200"/>
        <w:rPr>
          <w:sz w:val="24"/>
          <w:szCs w:val="24"/>
        </w:rPr>
      </w:pPr>
      <w:r>
        <w:rPr>
          <w:rFonts w:hint="eastAsia"/>
          <w:sz w:val="24"/>
          <w:szCs w:val="24"/>
        </w:rPr>
        <w:t>7.1</w:t>
      </w:r>
      <w:r>
        <w:rPr>
          <w:rFonts w:hint="eastAsia"/>
          <w:sz w:val="24"/>
          <w:szCs w:val="24"/>
        </w:rPr>
        <w:tab/>
      </w:r>
      <w:r>
        <w:rPr>
          <w:rFonts w:hint="eastAsia"/>
          <w:sz w:val="24"/>
          <w:szCs w:val="24"/>
        </w:rPr>
        <w:t>备用的办公用品应由前台统一保管。基金会为前台提供相应的存放区域，实行封闭保存。</w:t>
      </w:r>
    </w:p>
    <w:p>
      <w:pPr>
        <w:spacing w:line="360" w:lineRule="auto"/>
        <w:ind w:firstLine="480" w:firstLineChars="200"/>
        <w:rPr>
          <w:sz w:val="24"/>
          <w:szCs w:val="24"/>
        </w:rPr>
      </w:pPr>
      <w:r>
        <w:rPr>
          <w:rFonts w:hint="eastAsia"/>
          <w:sz w:val="24"/>
          <w:szCs w:val="24"/>
        </w:rPr>
        <w:t>7.2</w:t>
      </w:r>
      <w:r>
        <w:rPr>
          <w:rFonts w:hint="eastAsia"/>
          <w:sz w:val="24"/>
          <w:szCs w:val="24"/>
        </w:rPr>
        <w:tab/>
      </w:r>
      <w:r>
        <w:rPr>
          <w:rFonts w:hint="eastAsia"/>
          <w:sz w:val="24"/>
          <w:szCs w:val="24"/>
        </w:rPr>
        <w:t>发放办公用品应当做好相应的领用记录，明确领用部门、领用人与领用日期。</w:t>
      </w:r>
    </w:p>
    <w:p>
      <w:pPr>
        <w:spacing w:line="360" w:lineRule="auto"/>
        <w:ind w:firstLine="480" w:firstLineChars="200"/>
        <w:rPr>
          <w:sz w:val="24"/>
          <w:szCs w:val="24"/>
        </w:rPr>
      </w:pPr>
      <w:r>
        <w:rPr>
          <w:rFonts w:hint="eastAsia"/>
          <w:sz w:val="24"/>
          <w:szCs w:val="24"/>
        </w:rPr>
        <w:t>7.3</w:t>
      </w:r>
      <w:r>
        <w:rPr>
          <w:rFonts w:hint="eastAsia"/>
          <w:sz w:val="24"/>
          <w:szCs w:val="24"/>
        </w:rPr>
        <w:tab/>
      </w:r>
      <w:r>
        <w:rPr>
          <w:rFonts w:hint="eastAsia"/>
          <w:sz w:val="24"/>
          <w:szCs w:val="24"/>
        </w:rPr>
        <w:t>对于大件管理品实行保管责任制，对保管责任进行归属。</w:t>
      </w:r>
    </w:p>
    <w:p>
      <w:pPr>
        <w:spacing w:line="360" w:lineRule="auto"/>
        <w:ind w:firstLine="480" w:firstLineChars="200"/>
        <w:rPr>
          <w:sz w:val="24"/>
          <w:szCs w:val="24"/>
        </w:rPr>
      </w:pPr>
      <w:r>
        <w:rPr>
          <w:rFonts w:hint="eastAsia"/>
          <w:sz w:val="24"/>
          <w:szCs w:val="24"/>
        </w:rPr>
        <w:t>7.4 对因个人工作失误、非正常使用而对办公用品造成的重大异常损耗，将根据个人责任的程度，由责任人承担所造成的相应损失部分的赔偿。</w:t>
      </w:r>
    </w:p>
    <w:p>
      <w:pPr>
        <w:spacing w:line="360" w:lineRule="auto"/>
        <w:ind w:firstLine="480" w:firstLineChars="200"/>
        <w:rPr>
          <w:sz w:val="24"/>
          <w:szCs w:val="24"/>
        </w:rPr>
      </w:pPr>
      <w:r>
        <w:rPr>
          <w:rFonts w:hint="eastAsia"/>
          <w:sz w:val="24"/>
          <w:szCs w:val="24"/>
        </w:rPr>
        <w:t>7.5</w:t>
      </w:r>
      <w:r>
        <w:rPr>
          <w:rFonts w:hint="eastAsia"/>
          <w:sz w:val="24"/>
          <w:szCs w:val="24"/>
        </w:rPr>
        <w:tab/>
      </w:r>
      <w:r>
        <w:rPr>
          <w:rFonts w:hint="eastAsia"/>
          <w:sz w:val="24"/>
          <w:szCs w:val="24"/>
        </w:rPr>
        <w:t>实行定期盘存制。</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8.</w:t>
      </w:r>
      <w:r>
        <w:rPr>
          <w:rFonts w:hint="eastAsia" w:ascii="微软雅黑" w:hAnsi="微软雅黑" w:eastAsia="微软雅黑"/>
          <w:b/>
          <w:sz w:val="24"/>
          <w:szCs w:val="24"/>
        </w:rPr>
        <w:tab/>
      </w:r>
      <w:r>
        <w:rPr>
          <w:rFonts w:hint="eastAsia" w:ascii="微软雅黑" w:hAnsi="微软雅黑" w:eastAsia="微软雅黑"/>
          <w:b/>
          <w:sz w:val="24"/>
          <w:szCs w:val="24"/>
        </w:rPr>
        <w:t>办公用品领用</w:t>
      </w:r>
    </w:p>
    <w:p>
      <w:pPr>
        <w:spacing w:line="360" w:lineRule="auto"/>
        <w:ind w:firstLine="480" w:firstLineChars="200"/>
        <w:rPr>
          <w:sz w:val="24"/>
          <w:szCs w:val="24"/>
        </w:rPr>
      </w:pPr>
      <w:r>
        <w:rPr>
          <w:rFonts w:hint="eastAsia"/>
          <w:sz w:val="24"/>
          <w:szCs w:val="24"/>
        </w:rPr>
        <w:t>8.1</w:t>
      </w:r>
      <w:r>
        <w:rPr>
          <w:rFonts w:hint="eastAsia"/>
          <w:sz w:val="24"/>
          <w:szCs w:val="24"/>
        </w:rPr>
        <w:tab/>
      </w:r>
      <w:r>
        <w:rPr>
          <w:rFonts w:hint="eastAsia"/>
          <w:sz w:val="24"/>
          <w:szCs w:val="24"/>
        </w:rPr>
        <w:t>员工可根据办公需要领用已采购回基金会的办公用品。</w:t>
      </w:r>
    </w:p>
    <w:p>
      <w:pPr>
        <w:spacing w:line="360" w:lineRule="auto"/>
        <w:ind w:firstLine="480" w:firstLineChars="200"/>
        <w:rPr>
          <w:sz w:val="24"/>
          <w:szCs w:val="24"/>
        </w:rPr>
      </w:pPr>
      <w:r>
        <w:rPr>
          <w:rFonts w:hint="eastAsia"/>
          <w:sz w:val="24"/>
          <w:szCs w:val="24"/>
        </w:rPr>
        <w:t>8.2</w:t>
      </w:r>
      <w:r>
        <w:rPr>
          <w:rFonts w:hint="eastAsia"/>
          <w:sz w:val="24"/>
          <w:szCs w:val="24"/>
        </w:rPr>
        <w:tab/>
      </w:r>
      <w:r>
        <w:rPr>
          <w:rFonts w:hint="eastAsia"/>
          <w:sz w:val="24"/>
          <w:szCs w:val="24"/>
        </w:rPr>
        <w:t>在领用时，领用人应当在前台的《办公用品领取登记表》上登记领取人、领取物品及型号、领取数量与领取日期。</w:t>
      </w:r>
    </w:p>
    <w:p>
      <w:pPr>
        <w:spacing w:line="360" w:lineRule="auto"/>
        <w:ind w:firstLine="480" w:firstLineChars="200"/>
        <w:rPr>
          <w:sz w:val="24"/>
          <w:szCs w:val="24"/>
        </w:rPr>
      </w:pPr>
      <w:r>
        <w:rPr>
          <w:rFonts w:hint="eastAsia"/>
          <w:sz w:val="24"/>
          <w:szCs w:val="24"/>
        </w:rPr>
        <w:t>8.3</w:t>
      </w:r>
      <w:r>
        <w:rPr>
          <w:rFonts w:hint="eastAsia"/>
          <w:sz w:val="24"/>
          <w:szCs w:val="24"/>
        </w:rPr>
        <w:tab/>
      </w:r>
      <w:r>
        <w:rPr>
          <w:rFonts w:hint="eastAsia"/>
          <w:sz w:val="24"/>
          <w:szCs w:val="24"/>
        </w:rPr>
        <w:t>在领用人签字领取办公用品时，前台应对领取人做好登记记录。</w:t>
      </w:r>
    </w:p>
    <w:p>
      <w:pPr>
        <w:spacing w:line="360" w:lineRule="auto"/>
        <w:ind w:firstLine="480" w:firstLineChars="200"/>
        <w:rPr>
          <w:sz w:val="24"/>
          <w:szCs w:val="24"/>
        </w:rPr>
      </w:pPr>
      <w:r>
        <w:rPr>
          <w:rFonts w:hint="eastAsia"/>
          <w:sz w:val="24"/>
          <w:szCs w:val="24"/>
        </w:rPr>
        <w:t>8.4 新员工入职每人按标准配备签字笔一支、笔记本两本、基金会文件夹一个、文件筐一个、办公电脑一台</w:t>
      </w:r>
      <w:r>
        <w:rPr>
          <w:rFonts w:hint="eastAsia"/>
          <w:sz w:val="24"/>
          <w:szCs w:val="24"/>
          <w:lang w:val="en-US" w:eastAsia="zh-CN"/>
        </w:rPr>
        <w:t>等标准办公用品</w:t>
      </w:r>
      <w:r>
        <w:rPr>
          <w:rFonts w:hint="eastAsia"/>
          <w:sz w:val="24"/>
          <w:szCs w:val="24"/>
        </w:rPr>
        <w:t>。</w:t>
      </w:r>
    </w:p>
    <w:p>
      <w:pPr>
        <w:spacing w:line="360" w:lineRule="auto"/>
        <w:ind w:firstLine="480" w:firstLineChars="200"/>
        <w:rPr>
          <w:sz w:val="24"/>
          <w:szCs w:val="24"/>
        </w:rPr>
      </w:pPr>
      <w:r>
        <w:rPr>
          <w:rFonts w:hint="eastAsia"/>
          <w:sz w:val="24"/>
          <w:szCs w:val="24"/>
        </w:rPr>
        <w:t>8.5 剪刀、胶条、胶棒、橡皮擦、回形针、直尺、订书器、涂改带、裁纸刀、计算器根据工作需要领用。</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9. 办公用品交接与收回</w:t>
      </w:r>
    </w:p>
    <w:p>
      <w:pPr>
        <w:spacing w:line="360" w:lineRule="auto"/>
        <w:ind w:firstLine="480" w:firstLineChars="200"/>
        <w:rPr>
          <w:sz w:val="24"/>
          <w:szCs w:val="24"/>
        </w:rPr>
      </w:pPr>
      <w:r>
        <w:rPr>
          <w:rFonts w:hint="eastAsia"/>
          <w:sz w:val="24"/>
          <w:szCs w:val="24"/>
        </w:rPr>
        <w:t>9.1 员工因离职或工作岗位变动等原因需进行办公用品的交接或收回时，应当严格遵守交接回收程序。</w:t>
      </w:r>
    </w:p>
    <w:p>
      <w:pPr>
        <w:spacing w:line="360" w:lineRule="auto"/>
        <w:ind w:firstLine="480" w:firstLineChars="200"/>
        <w:rPr>
          <w:sz w:val="24"/>
          <w:szCs w:val="24"/>
        </w:rPr>
      </w:pPr>
      <w:r>
        <w:rPr>
          <w:rFonts w:hint="eastAsia"/>
          <w:sz w:val="24"/>
          <w:szCs w:val="24"/>
        </w:rPr>
        <w:t>9.2 移交人应逐项列出物品清单，接收人仔细点验，遇有损毁的要求移交人书面表明，视该物品金额的大小情况，是否追究移交人责任，另行处理。</w:t>
      </w:r>
    </w:p>
    <w:p>
      <w:pPr>
        <w:spacing w:line="360" w:lineRule="auto"/>
        <w:ind w:firstLine="480" w:firstLineChars="200"/>
        <w:rPr>
          <w:sz w:val="24"/>
          <w:szCs w:val="24"/>
        </w:rPr>
      </w:pPr>
      <w:r>
        <w:rPr>
          <w:rFonts w:hint="eastAsia"/>
          <w:sz w:val="24"/>
          <w:szCs w:val="24"/>
        </w:rPr>
        <w:t>9.3</w:t>
      </w:r>
      <w:r>
        <w:rPr>
          <w:rFonts w:hint="eastAsia"/>
          <w:sz w:val="24"/>
          <w:szCs w:val="24"/>
        </w:rPr>
        <w:tab/>
      </w:r>
      <w:r>
        <w:rPr>
          <w:rFonts w:hint="eastAsia"/>
          <w:sz w:val="24"/>
          <w:szCs w:val="24"/>
        </w:rPr>
        <w:t>前台需据清单核实后填写《办公用品交接登记表》，存档备查。</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10. 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p>
    <w:p>
      <w:pPr>
        <w:spacing w:line="360" w:lineRule="auto"/>
        <w:rPr>
          <w:sz w:val="24"/>
          <w:szCs w:val="24"/>
        </w:rPr>
      </w:pPr>
    </w:p>
    <w:p>
      <w:pPr>
        <w:spacing w:before="156" w:beforeLines="50" w:after="156" w:afterLines="50" w:line="360" w:lineRule="auto"/>
        <w:jc w:val="center"/>
        <w:outlineLvl w:val="1"/>
        <w:rPr>
          <w:rFonts w:ascii="黑体" w:hAnsi="黑体" w:eastAsia="黑体"/>
          <w:b/>
          <w:sz w:val="32"/>
          <w:szCs w:val="32"/>
        </w:rPr>
      </w:pPr>
      <w:bookmarkStart w:id="22" w:name="_Toc18114"/>
      <w:bookmarkStart w:id="23" w:name="_Toc403829185"/>
      <w:r>
        <w:rPr>
          <w:rFonts w:hint="eastAsia" w:ascii="黑体" w:hAnsi="黑体" w:eastAsia="黑体"/>
          <w:b/>
          <w:sz w:val="32"/>
          <w:szCs w:val="32"/>
        </w:rPr>
        <w:t xml:space="preserve">十二 </w:t>
      </w:r>
      <w:r>
        <w:rPr>
          <w:rFonts w:hint="eastAsia" w:ascii="黑体" w:hAnsi="黑体" w:eastAsia="黑体"/>
          <w:b/>
          <w:sz w:val="32"/>
          <w:szCs w:val="32"/>
          <w:lang w:eastAsia="zh-CN"/>
        </w:rPr>
        <w:t>北京天地文化发展</w:t>
      </w:r>
      <w:r>
        <w:rPr>
          <w:rFonts w:hint="eastAsia" w:ascii="黑体" w:hAnsi="黑体" w:eastAsia="黑体"/>
          <w:b/>
          <w:sz w:val="32"/>
          <w:szCs w:val="32"/>
        </w:rPr>
        <w:t>基金会档案管理制度</w:t>
      </w:r>
      <w:bookmarkEnd w:id="22"/>
      <w:bookmarkEnd w:id="23"/>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1.1为加强基金会档案管理工作，有效地保护和利用档案，特制订本制度。</w:t>
      </w:r>
    </w:p>
    <w:p>
      <w:pPr>
        <w:spacing w:line="360" w:lineRule="auto"/>
        <w:ind w:firstLine="480" w:firstLineChars="200"/>
        <w:rPr>
          <w:sz w:val="24"/>
          <w:szCs w:val="24"/>
        </w:rPr>
      </w:pPr>
      <w:r>
        <w:rPr>
          <w:rFonts w:hint="eastAsia"/>
          <w:sz w:val="24"/>
          <w:szCs w:val="24"/>
        </w:rPr>
        <w:t>1.2档案管理包括文本档案管理和电子档案管理。文本档案指纸质版的合同、协议、年报等档案资料；电子档案指非纸质版的电子文本、图片、录像等档案资料。</w:t>
      </w:r>
    </w:p>
    <w:p>
      <w:pPr>
        <w:spacing w:line="360" w:lineRule="auto"/>
        <w:ind w:firstLine="480" w:firstLineChars="200"/>
        <w:rPr>
          <w:sz w:val="24"/>
          <w:szCs w:val="24"/>
        </w:rPr>
      </w:pPr>
      <w:r>
        <w:rPr>
          <w:rFonts w:hint="eastAsia"/>
          <w:sz w:val="24"/>
          <w:szCs w:val="24"/>
        </w:rPr>
        <w:t>1.3 本制度秉承档案管理与痕迹管理的双重理念，即基金会所设计的各个项目及各项工作推进过程中，从工作布置到工作落实全过程的各类有效文字记载，均存档保留。</w:t>
      </w:r>
    </w:p>
    <w:p>
      <w:pPr>
        <w:spacing w:line="360" w:lineRule="auto"/>
        <w:ind w:firstLine="480" w:firstLineChars="200"/>
        <w:rPr>
          <w:sz w:val="24"/>
          <w:szCs w:val="24"/>
        </w:rPr>
      </w:pPr>
      <w:r>
        <w:rPr>
          <w:rFonts w:hint="eastAsia"/>
          <w:sz w:val="24"/>
          <w:szCs w:val="24"/>
        </w:rPr>
        <w:t>1.4档案管理过程中，秉承环保的理念，尽量储存电子版文件及档案，减少纸质文件的打印。</w:t>
      </w:r>
    </w:p>
    <w:p>
      <w:pPr>
        <w:spacing w:line="360" w:lineRule="auto"/>
        <w:ind w:firstLine="480" w:firstLineChars="200"/>
        <w:rPr>
          <w:sz w:val="24"/>
          <w:szCs w:val="24"/>
        </w:rPr>
      </w:pPr>
      <w:r>
        <w:rPr>
          <w:rFonts w:hint="eastAsia"/>
          <w:sz w:val="24"/>
          <w:szCs w:val="24"/>
        </w:rPr>
        <w:t>1.5 档案工作列入基金会及各部门年度工作计划，需要予以全面落实。</w:t>
      </w:r>
    </w:p>
    <w:p>
      <w:pPr>
        <w:spacing w:line="360" w:lineRule="auto"/>
        <w:ind w:firstLine="480" w:firstLineChars="200"/>
        <w:rPr>
          <w:sz w:val="24"/>
          <w:szCs w:val="24"/>
        </w:rPr>
      </w:pPr>
      <w:r>
        <w:rPr>
          <w:rFonts w:hint="eastAsia"/>
          <w:sz w:val="24"/>
          <w:szCs w:val="24"/>
        </w:rPr>
        <w:t>1.6 该制度适用于</w:t>
      </w:r>
      <w:r>
        <w:rPr>
          <w:rFonts w:hint="eastAsia"/>
          <w:sz w:val="24"/>
          <w:szCs w:val="24"/>
          <w:lang w:eastAsia="zh-CN"/>
        </w:rPr>
        <w:t>北京天地文化发展</w:t>
      </w:r>
      <w:r>
        <w:rPr>
          <w:rFonts w:hint="eastAsia"/>
          <w:sz w:val="24"/>
          <w:szCs w:val="24"/>
        </w:rPr>
        <w:t>基金会。</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2．归档范围</w:t>
      </w:r>
    </w:p>
    <w:p>
      <w:pPr>
        <w:spacing w:line="360" w:lineRule="auto"/>
        <w:ind w:firstLine="480" w:firstLineChars="200"/>
        <w:rPr>
          <w:sz w:val="24"/>
          <w:szCs w:val="24"/>
        </w:rPr>
      </w:pPr>
      <w:r>
        <w:rPr>
          <w:rFonts w:hint="eastAsia"/>
          <w:sz w:val="24"/>
          <w:szCs w:val="24"/>
        </w:rPr>
        <w:t>按照档案主题，分为下述十种，即档案以年度为单位、依据下述类型进行分类保存：</w:t>
      </w:r>
    </w:p>
    <w:p>
      <w:pPr>
        <w:spacing w:line="360" w:lineRule="auto"/>
        <w:ind w:firstLine="480" w:firstLineChars="200"/>
        <w:rPr>
          <w:sz w:val="24"/>
          <w:szCs w:val="24"/>
        </w:rPr>
      </w:pPr>
      <w:r>
        <w:rPr>
          <w:rFonts w:hint="eastAsia"/>
          <w:sz w:val="24"/>
          <w:szCs w:val="24"/>
        </w:rPr>
        <w:t>2.1行政资料：基金会注册登记证书、相关资质证明、各项管理规章制度、年度工作报告等；</w:t>
      </w:r>
    </w:p>
    <w:p>
      <w:pPr>
        <w:spacing w:line="360" w:lineRule="auto"/>
        <w:ind w:firstLine="480" w:firstLineChars="200"/>
        <w:rPr>
          <w:sz w:val="24"/>
          <w:szCs w:val="24"/>
        </w:rPr>
      </w:pPr>
      <w:r>
        <w:rPr>
          <w:rFonts w:hint="eastAsia"/>
          <w:sz w:val="24"/>
          <w:szCs w:val="24"/>
        </w:rPr>
        <w:t>2.2会议资料：基金会大会、理事会及其他会议形成的会议材料、会议记录、纪要或备忘录等；</w:t>
      </w:r>
    </w:p>
    <w:p>
      <w:pPr>
        <w:spacing w:line="360" w:lineRule="auto"/>
        <w:ind w:firstLine="480" w:firstLineChars="200"/>
        <w:rPr>
          <w:sz w:val="24"/>
          <w:szCs w:val="24"/>
        </w:rPr>
      </w:pPr>
      <w:r>
        <w:rPr>
          <w:rFonts w:hint="eastAsia"/>
          <w:sz w:val="24"/>
          <w:szCs w:val="24"/>
        </w:rPr>
        <w:t>2.3人事资料：基金会内部正式员工、兼职员工、实习生、志愿者的相关资料、合同等；</w:t>
      </w:r>
    </w:p>
    <w:p>
      <w:pPr>
        <w:spacing w:line="360" w:lineRule="auto"/>
        <w:ind w:firstLine="480" w:firstLineChars="200"/>
        <w:rPr>
          <w:sz w:val="24"/>
          <w:szCs w:val="24"/>
        </w:rPr>
      </w:pPr>
      <w:r>
        <w:rPr>
          <w:rFonts w:hint="eastAsia"/>
          <w:sz w:val="24"/>
          <w:szCs w:val="24"/>
        </w:rPr>
        <w:t>2.4财务资料：基金会审计报告、拨款单据、日常支出单据、特殊支出单据等；</w:t>
      </w:r>
    </w:p>
    <w:p>
      <w:pPr>
        <w:spacing w:line="360" w:lineRule="auto"/>
        <w:ind w:firstLine="480" w:firstLineChars="200"/>
        <w:rPr>
          <w:sz w:val="24"/>
          <w:szCs w:val="24"/>
        </w:rPr>
      </w:pPr>
      <w:r>
        <w:rPr>
          <w:rFonts w:hint="eastAsia"/>
          <w:sz w:val="24"/>
          <w:szCs w:val="24"/>
        </w:rPr>
        <w:t>2.5项目资料：重要的项目审批文件、各项目的合作机构资料、立项报告、合作协议、合作伙伴信息登记表、沟通备忘、宣传报道、项目成果、项目册等；</w:t>
      </w:r>
    </w:p>
    <w:p>
      <w:pPr>
        <w:spacing w:line="360" w:lineRule="auto"/>
        <w:ind w:firstLine="480" w:firstLineChars="200"/>
        <w:rPr>
          <w:sz w:val="24"/>
          <w:szCs w:val="24"/>
        </w:rPr>
      </w:pPr>
      <w:r>
        <w:rPr>
          <w:rFonts w:hint="eastAsia"/>
          <w:sz w:val="24"/>
          <w:szCs w:val="24"/>
        </w:rPr>
        <w:t>2.6学习培训资料：包括培训材料、交流学习活动等；</w:t>
      </w:r>
    </w:p>
    <w:p>
      <w:pPr>
        <w:spacing w:line="360" w:lineRule="auto"/>
        <w:ind w:firstLine="480" w:firstLineChars="200"/>
        <w:rPr>
          <w:sz w:val="24"/>
          <w:szCs w:val="24"/>
        </w:rPr>
      </w:pPr>
      <w:r>
        <w:rPr>
          <w:rFonts w:hint="eastAsia"/>
          <w:sz w:val="24"/>
          <w:szCs w:val="24"/>
        </w:rPr>
        <w:t>2.7宣传推广资料：包括基金会和项目各类宣传报道、讲话发言稿，以及在项目与活动开展中形成或采集到的媒体报道剪辑、图片、声像等材料；</w:t>
      </w:r>
    </w:p>
    <w:p>
      <w:pPr>
        <w:spacing w:line="360" w:lineRule="auto"/>
        <w:ind w:firstLine="480" w:firstLineChars="200"/>
        <w:rPr>
          <w:sz w:val="24"/>
          <w:szCs w:val="24"/>
        </w:rPr>
      </w:pPr>
      <w:r>
        <w:rPr>
          <w:rFonts w:hint="eastAsia"/>
          <w:sz w:val="24"/>
          <w:szCs w:val="24"/>
        </w:rPr>
        <w:t>2.8 声像影音资料：外出学习、考察中以声像形式记录下来的各种资料，如照片、录音、录像、短片等；</w:t>
      </w:r>
    </w:p>
    <w:p>
      <w:pPr>
        <w:spacing w:line="360" w:lineRule="auto"/>
        <w:ind w:firstLine="480" w:firstLineChars="200"/>
        <w:rPr>
          <w:sz w:val="24"/>
          <w:szCs w:val="24"/>
        </w:rPr>
      </w:pPr>
      <w:r>
        <w:rPr>
          <w:rFonts w:hint="eastAsia"/>
          <w:sz w:val="24"/>
          <w:szCs w:val="24"/>
        </w:rPr>
        <w:t>2.9资产资料：基金会固定资产、设备仪器登记、保管方面的文件材料；</w:t>
      </w:r>
    </w:p>
    <w:p>
      <w:pPr>
        <w:spacing w:line="360" w:lineRule="auto"/>
        <w:ind w:firstLine="480" w:firstLineChars="200"/>
        <w:rPr>
          <w:sz w:val="24"/>
          <w:szCs w:val="24"/>
        </w:rPr>
      </w:pPr>
      <w:r>
        <w:rPr>
          <w:rFonts w:hint="eastAsia"/>
          <w:sz w:val="24"/>
          <w:szCs w:val="24"/>
        </w:rPr>
        <w:t>2.10其他资料：其他上述未包含的文本或电子资料。</w:t>
      </w:r>
    </w:p>
    <w:p>
      <w:pPr>
        <w:ind w:firstLine="420" w:firstLineChars="200"/>
      </w:pPr>
      <w:r>
        <w:t xml:space="preserve"> </w:t>
      </w:r>
      <w:r>
        <w:object>
          <v:shape id="_x0000_i1025" o:spt="75" type="#_x0000_t75" style="height:331.5pt;width:352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3.各部门职责</w:t>
      </w:r>
    </w:p>
    <w:p>
      <w:pPr>
        <w:spacing w:line="360" w:lineRule="auto"/>
        <w:ind w:firstLine="480" w:firstLineChars="200"/>
        <w:rPr>
          <w:sz w:val="24"/>
          <w:szCs w:val="24"/>
        </w:rPr>
      </w:pPr>
      <w:r>
        <w:rPr>
          <w:rFonts w:hint="eastAsia"/>
          <w:sz w:val="24"/>
          <w:szCs w:val="24"/>
        </w:rPr>
        <w:t>3.1综合管理部门</w:t>
      </w:r>
    </w:p>
    <w:p>
      <w:pPr>
        <w:spacing w:line="360" w:lineRule="auto"/>
        <w:ind w:firstLine="480" w:firstLineChars="200"/>
        <w:rPr>
          <w:sz w:val="24"/>
          <w:szCs w:val="24"/>
        </w:rPr>
      </w:pPr>
      <w:r>
        <w:rPr>
          <w:rFonts w:hint="eastAsia"/>
          <w:sz w:val="24"/>
          <w:szCs w:val="24"/>
        </w:rPr>
        <w:t>3.1.1建立健全基金会档案管理制度和实施办法，并负责基金会的档案的集中管理和制度执行及检查工作，并负责指导与督促其他部门的档案管理和项目资料管理。</w:t>
      </w:r>
    </w:p>
    <w:p>
      <w:pPr>
        <w:spacing w:line="360" w:lineRule="auto"/>
        <w:ind w:firstLine="480" w:firstLineChars="200"/>
        <w:rPr>
          <w:sz w:val="24"/>
          <w:szCs w:val="24"/>
        </w:rPr>
      </w:pPr>
      <w:r>
        <w:rPr>
          <w:rFonts w:hint="eastAsia"/>
          <w:sz w:val="24"/>
          <w:szCs w:val="24"/>
        </w:rPr>
        <w:t>3.1.2 收集、整理、分类、统计、保管基金会的档案和其他相关资料。</w:t>
      </w:r>
    </w:p>
    <w:p>
      <w:pPr>
        <w:spacing w:line="360" w:lineRule="auto"/>
        <w:ind w:firstLine="480" w:firstLineChars="200"/>
        <w:rPr>
          <w:sz w:val="24"/>
          <w:szCs w:val="24"/>
        </w:rPr>
      </w:pPr>
      <w:r>
        <w:rPr>
          <w:rFonts w:hint="eastAsia"/>
          <w:sz w:val="24"/>
          <w:szCs w:val="24"/>
        </w:rPr>
        <w:t>3.1.3 负责基金会档案的安全保存、有效使用与销毁管理，监控档案利用和销毁的过程，确保基金会档案安全。</w:t>
      </w:r>
    </w:p>
    <w:p>
      <w:pPr>
        <w:spacing w:line="360" w:lineRule="auto"/>
        <w:ind w:firstLine="480" w:firstLineChars="200"/>
        <w:rPr>
          <w:sz w:val="24"/>
          <w:szCs w:val="24"/>
        </w:rPr>
      </w:pPr>
      <w:r>
        <w:rPr>
          <w:rFonts w:hint="eastAsia"/>
          <w:sz w:val="24"/>
          <w:szCs w:val="24"/>
        </w:rPr>
        <w:t>3.1.4 牵头组织基金会重大、多部门参与的活动/事件的专题档案建立和保存管理工作。</w:t>
      </w:r>
    </w:p>
    <w:p>
      <w:pPr>
        <w:spacing w:line="360" w:lineRule="auto"/>
        <w:ind w:firstLine="480" w:firstLineChars="200"/>
        <w:rPr>
          <w:sz w:val="24"/>
          <w:szCs w:val="24"/>
        </w:rPr>
      </w:pPr>
      <w:r>
        <w:rPr>
          <w:rFonts w:hint="eastAsia"/>
          <w:sz w:val="24"/>
          <w:szCs w:val="24"/>
        </w:rPr>
        <w:t>3.1.5 负责组织学习和培训档案管理办法、使用知识。</w:t>
      </w:r>
    </w:p>
    <w:p>
      <w:pPr>
        <w:spacing w:line="360" w:lineRule="auto"/>
        <w:ind w:firstLine="480" w:firstLineChars="200"/>
        <w:rPr>
          <w:sz w:val="24"/>
          <w:szCs w:val="24"/>
        </w:rPr>
      </w:pPr>
      <w:r>
        <w:rPr>
          <w:rFonts w:hint="eastAsia"/>
          <w:sz w:val="24"/>
          <w:szCs w:val="24"/>
        </w:rPr>
        <w:t>3.2各职能部门</w:t>
      </w:r>
    </w:p>
    <w:p>
      <w:pPr>
        <w:spacing w:line="360" w:lineRule="auto"/>
        <w:ind w:firstLine="480" w:firstLineChars="200"/>
        <w:rPr>
          <w:sz w:val="24"/>
          <w:szCs w:val="24"/>
        </w:rPr>
      </w:pPr>
      <w:r>
        <w:rPr>
          <w:rFonts w:hint="eastAsia"/>
          <w:sz w:val="24"/>
          <w:szCs w:val="24"/>
        </w:rPr>
        <w:t>3.2.1 负责本部门电子资料和文本资料或合同的原件及复印件的日常收集、标识、贮存、保管、利用，并定期向综合管理、财务部相关人员转交相关资料并协助这些部门进行资料归档。</w:t>
      </w:r>
    </w:p>
    <w:p>
      <w:pPr>
        <w:spacing w:line="360" w:lineRule="auto"/>
        <w:ind w:firstLine="480" w:firstLineChars="200"/>
        <w:rPr>
          <w:sz w:val="24"/>
          <w:szCs w:val="24"/>
        </w:rPr>
      </w:pPr>
      <w:r>
        <w:rPr>
          <w:rFonts w:hint="eastAsia"/>
          <w:sz w:val="24"/>
          <w:szCs w:val="24"/>
        </w:rPr>
        <w:t>3.2.2 负责在工作变动时，做好移交工作，并及时通知综合管理部门相关人员。</w:t>
      </w:r>
    </w:p>
    <w:p>
      <w:pPr>
        <w:spacing w:line="360" w:lineRule="auto"/>
        <w:ind w:firstLine="480" w:firstLineChars="200"/>
        <w:rPr>
          <w:sz w:val="24"/>
          <w:szCs w:val="24"/>
        </w:rPr>
      </w:pPr>
      <w:r>
        <w:rPr>
          <w:rFonts w:hint="eastAsia"/>
          <w:sz w:val="24"/>
          <w:szCs w:val="24"/>
        </w:rPr>
        <w:t>3.2.3 向综合管理部门相关人员移交合同或文件资料原件或复印件。</w:t>
      </w:r>
    </w:p>
    <w:p>
      <w:pPr>
        <w:spacing w:line="360" w:lineRule="auto"/>
        <w:ind w:firstLine="480" w:firstLineChars="200"/>
        <w:rPr>
          <w:sz w:val="24"/>
          <w:szCs w:val="24"/>
        </w:rPr>
      </w:pPr>
      <w:r>
        <w:rPr>
          <w:rFonts w:hint="eastAsia"/>
          <w:sz w:val="24"/>
          <w:szCs w:val="24"/>
        </w:rPr>
        <w:t>3.2.4 财务部门按照国家财务政策制度规定独立建档保管财务档案资料。</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4.归档档案保存年限</w:t>
      </w:r>
    </w:p>
    <w:p>
      <w:pPr>
        <w:spacing w:line="360" w:lineRule="auto"/>
        <w:ind w:firstLine="480" w:firstLineChars="200"/>
        <w:rPr>
          <w:sz w:val="24"/>
          <w:szCs w:val="24"/>
        </w:rPr>
      </w:pPr>
      <w:r>
        <w:rPr>
          <w:rFonts w:hint="eastAsia"/>
          <w:sz w:val="24"/>
          <w:szCs w:val="24"/>
        </w:rPr>
        <w:t>归档文件保存期限分为定期和永久。定期按文件材料的保存价值分为一年、五年、十年。</w:t>
      </w:r>
    </w:p>
    <w:p>
      <w:pPr>
        <w:spacing w:line="360" w:lineRule="auto"/>
        <w:ind w:firstLine="480" w:firstLineChars="200"/>
        <w:rPr>
          <w:sz w:val="24"/>
          <w:szCs w:val="24"/>
        </w:rPr>
      </w:pPr>
      <w:r>
        <w:rPr>
          <w:rFonts w:hint="eastAsia"/>
          <w:sz w:val="24"/>
          <w:szCs w:val="24"/>
        </w:rPr>
        <w:t>4.1 永久保存</w:t>
      </w:r>
    </w:p>
    <w:p>
      <w:pPr>
        <w:spacing w:line="360" w:lineRule="auto"/>
        <w:ind w:firstLine="480" w:firstLineChars="200"/>
        <w:rPr>
          <w:sz w:val="24"/>
          <w:szCs w:val="24"/>
        </w:rPr>
      </w:pPr>
      <w:r>
        <w:rPr>
          <w:rFonts w:hint="eastAsia"/>
          <w:sz w:val="24"/>
          <w:szCs w:val="24"/>
        </w:rPr>
        <w:t>4.1.1 基金会章程；</w:t>
      </w:r>
    </w:p>
    <w:p>
      <w:pPr>
        <w:spacing w:line="360" w:lineRule="auto"/>
        <w:ind w:firstLine="480" w:firstLineChars="200"/>
        <w:rPr>
          <w:sz w:val="24"/>
          <w:szCs w:val="24"/>
        </w:rPr>
      </w:pPr>
      <w:r>
        <w:rPr>
          <w:rFonts w:hint="eastAsia"/>
          <w:sz w:val="24"/>
          <w:szCs w:val="24"/>
        </w:rPr>
        <w:t>4.1.2 理事会相关资料；</w:t>
      </w:r>
    </w:p>
    <w:p>
      <w:pPr>
        <w:spacing w:line="360" w:lineRule="auto"/>
        <w:ind w:firstLine="480" w:firstLineChars="200"/>
        <w:rPr>
          <w:sz w:val="24"/>
          <w:szCs w:val="24"/>
        </w:rPr>
      </w:pPr>
      <w:r>
        <w:rPr>
          <w:rFonts w:hint="eastAsia"/>
          <w:sz w:val="24"/>
          <w:szCs w:val="24"/>
        </w:rPr>
        <w:t>4.1.3基金会规章制度；</w:t>
      </w:r>
    </w:p>
    <w:p>
      <w:pPr>
        <w:spacing w:line="360" w:lineRule="auto"/>
        <w:ind w:firstLine="480" w:firstLineChars="200"/>
        <w:rPr>
          <w:sz w:val="24"/>
          <w:szCs w:val="24"/>
        </w:rPr>
      </w:pPr>
      <w:r>
        <w:rPr>
          <w:rFonts w:hint="eastAsia"/>
          <w:sz w:val="24"/>
          <w:szCs w:val="24"/>
        </w:rPr>
        <w:t>4.1.4 财务报表；</w:t>
      </w:r>
    </w:p>
    <w:p>
      <w:pPr>
        <w:spacing w:line="360" w:lineRule="auto"/>
        <w:ind w:firstLine="480" w:firstLineChars="200"/>
        <w:rPr>
          <w:sz w:val="24"/>
          <w:szCs w:val="24"/>
        </w:rPr>
      </w:pPr>
      <w:r>
        <w:rPr>
          <w:rFonts w:hint="eastAsia"/>
          <w:sz w:val="24"/>
          <w:szCs w:val="24"/>
        </w:rPr>
        <w:t>4.1.5 政府机关准和文件；</w:t>
      </w:r>
    </w:p>
    <w:p>
      <w:pPr>
        <w:spacing w:line="360" w:lineRule="auto"/>
        <w:ind w:firstLine="480" w:firstLineChars="200"/>
        <w:rPr>
          <w:sz w:val="24"/>
          <w:szCs w:val="24"/>
        </w:rPr>
      </w:pPr>
      <w:r>
        <w:rPr>
          <w:rFonts w:hint="eastAsia"/>
          <w:sz w:val="24"/>
          <w:szCs w:val="24"/>
        </w:rPr>
        <w:t>4.1.6组织规则及办事细则；</w:t>
      </w:r>
    </w:p>
    <w:p>
      <w:pPr>
        <w:spacing w:line="360" w:lineRule="auto"/>
        <w:ind w:firstLine="480" w:firstLineChars="200"/>
        <w:rPr>
          <w:sz w:val="24"/>
          <w:szCs w:val="24"/>
        </w:rPr>
      </w:pPr>
      <w:r>
        <w:rPr>
          <w:rFonts w:hint="eastAsia"/>
          <w:sz w:val="24"/>
          <w:szCs w:val="24"/>
        </w:rPr>
        <w:t>4.1.7 其他经核定须永久保存的档案资料。</w:t>
      </w:r>
    </w:p>
    <w:p>
      <w:pPr>
        <w:spacing w:line="360" w:lineRule="auto"/>
        <w:ind w:firstLine="480" w:firstLineChars="200"/>
        <w:rPr>
          <w:sz w:val="24"/>
          <w:szCs w:val="24"/>
        </w:rPr>
      </w:pPr>
      <w:r>
        <w:rPr>
          <w:rFonts w:hint="eastAsia"/>
          <w:sz w:val="24"/>
          <w:szCs w:val="24"/>
        </w:rPr>
        <w:t>4.2 十年保存</w:t>
      </w:r>
    </w:p>
    <w:p>
      <w:pPr>
        <w:spacing w:line="360" w:lineRule="auto"/>
        <w:ind w:firstLine="480" w:firstLineChars="200"/>
        <w:rPr>
          <w:sz w:val="24"/>
          <w:szCs w:val="24"/>
        </w:rPr>
      </w:pPr>
      <w:r>
        <w:rPr>
          <w:rFonts w:hint="eastAsia"/>
          <w:sz w:val="24"/>
          <w:szCs w:val="24"/>
        </w:rPr>
        <w:t>4.2.1 年度预算书；</w:t>
      </w:r>
    </w:p>
    <w:p>
      <w:pPr>
        <w:spacing w:line="360" w:lineRule="auto"/>
        <w:ind w:firstLine="480" w:firstLineChars="200"/>
        <w:rPr>
          <w:sz w:val="24"/>
          <w:szCs w:val="24"/>
        </w:rPr>
      </w:pPr>
      <w:r>
        <w:rPr>
          <w:rFonts w:hint="eastAsia"/>
          <w:sz w:val="24"/>
          <w:szCs w:val="24"/>
        </w:rPr>
        <w:t>4.2.2 年度计划资料；</w:t>
      </w:r>
    </w:p>
    <w:p>
      <w:pPr>
        <w:spacing w:line="360" w:lineRule="auto"/>
        <w:ind w:firstLine="480" w:firstLineChars="200"/>
        <w:rPr>
          <w:sz w:val="24"/>
          <w:szCs w:val="24"/>
        </w:rPr>
      </w:pPr>
      <w:r>
        <w:rPr>
          <w:rFonts w:hint="eastAsia"/>
          <w:sz w:val="24"/>
          <w:szCs w:val="24"/>
        </w:rPr>
        <w:t>4.2.3 年度支出报告；</w:t>
      </w:r>
    </w:p>
    <w:p>
      <w:pPr>
        <w:spacing w:line="360" w:lineRule="auto"/>
        <w:ind w:firstLine="480" w:firstLineChars="200"/>
        <w:rPr>
          <w:sz w:val="24"/>
          <w:szCs w:val="24"/>
        </w:rPr>
      </w:pPr>
      <w:r>
        <w:rPr>
          <w:rFonts w:hint="eastAsia"/>
          <w:sz w:val="24"/>
          <w:szCs w:val="24"/>
        </w:rPr>
        <w:t>4.2.4 年度工作报告及简报；</w:t>
      </w:r>
    </w:p>
    <w:p>
      <w:pPr>
        <w:spacing w:line="360" w:lineRule="auto"/>
        <w:ind w:firstLine="480" w:firstLineChars="200"/>
        <w:rPr>
          <w:sz w:val="24"/>
          <w:szCs w:val="24"/>
        </w:rPr>
      </w:pPr>
      <w:r>
        <w:rPr>
          <w:rFonts w:hint="eastAsia"/>
          <w:sz w:val="24"/>
          <w:szCs w:val="24"/>
        </w:rPr>
        <w:t>4.2.5 其他经核定须保存10年的档案资料。</w:t>
      </w:r>
    </w:p>
    <w:p>
      <w:pPr>
        <w:spacing w:line="360" w:lineRule="auto"/>
        <w:ind w:firstLine="480" w:firstLineChars="200"/>
        <w:rPr>
          <w:sz w:val="24"/>
          <w:szCs w:val="24"/>
        </w:rPr>
      </w:pPr>
      <w:r>
        <w:rPr>
          <w:rFonts w:hint="eastAsia"/>
          <w:sz w:val="24"/>
          <w:szCs w:val="24"/>
        </w:rPr>
        <w:t>4.3 五年保存</w:t>
      </w:r>
    </w:p>
    <w:p>
      <w:pPr>
        <w:spacing w:line="360" w:lineRule="auto"/>
        <w:ind w:firstLine="480" w:firstLineChars="200"/>
        <w:rPr>
          <w:sz w:val="24"/>
          <w:szCs w:val="24"/>
        </w:rPr>
      </w:pPr>
      <w:r>
        <w:rPr>
          <w:rFonts w:hint="eastAsia"/>
          <w:sz w:val="24"/>
          <w:szCs w:val="24"/>
        </w:rPr>
        <w:t>4.3.1 期满或解除的合同文件（包括项目合同及人事合同）；</w:t>
      </w:r>
    </w:p>
    <w:p>
      <w:pPr>
        <w:spacing w:line="360" w:lineRule="auto"/>
        <w:ind w:firstLine="480" w:firstLineChars="200"/>
        <w:rPr>
          <w:sz w:val="24"/>
          <w:szCs w:val="24"/>
        </w:rPr>
      </w:pPr>
      <w:r>
        <w:rPr>
          <w:rFonts w:hint="eastAsia"/>
          <w:sz w:val="24"/>
          <w:szCs w:val="24"/>
        </w:rPr>
        <w:t>4.3.2 日常会议纪要文件；</w:t>
      </w:r>
    </w:p>
    <w:p>
      <w:pPr>
        <w:spacing w:line="360" w:lineRule="auto"/>
        <w:ind w:firstLine="480" w:firstLineChars="200"/>
        <w:rPr>
          <w:sz w:val="24"/>
          <w:szCs w:val="24"/>
        </w:rPr>
      </w:pPr>
      <w:r>
        <w:rPr>
          <w:rFonts w:hint="eastAsia"/>
          <w:sz w:val="24"/>
          <w:szCs w:val="24"/>
        </w:rPr>
        <w:t>4.3.3 无必要之影音资料或图片资料；</w:t>
      </w:r>
    </w:p>
    <w:p>
      <w:pPr>
        <w:spacing w:line="360" w:lineRule="auto"/>
        <w:ind w:firstLine="480" w:firstLineChars="200"/>
        <w:rPr>
          <w:sz w:val="24"/>
          <w:szCs w:val="24"/>
        </w:rPr>
      </w:pPr>
      <w:r>
        <w:rPr>
          <w:rFonts w:hint="eastAsia"/>
          <w:sz w:val="24"/>
          <w:szCs w:val="24"/>
        </w:rPr>
        <w:t>4.3.4 其他经核定须保存5年的档案资料。</w:t>
      </w:r>
    </w:p>
    <w:p>
      <w:pPr>
        <w:spacing w:line="360" w:lineRule="auto"/>
        <w:ind w:firstLine="480" w:firstLineChars="200"/>
        <w:rPr>
          <w:sz w:val="24"/>
          <w:szCs w:val="24"/>
        </w:rPr>
      </w:pPr>
      <w:r>
        <w:rPr>
          <w:rFonts w:hint="eastAsia"/>
          <w:sz w:val="24"/>
          <w:szCs w:val="24"/>
        </w:rPr>
        <w:t>4.4 一年及以下保存</w:t>
      </w:r>
    </w:p>
    <w:p>
      <w:pPr>
        <w:spacing w:line="360" w:lineRule="auto"/>
        <w:ind w:firstLine="480" w:firstLineChars="200"/>
        <w:rPr>
          <w:sz w:val="24"/>
          <w:szCs w:val="24"/>
        </w:rPr>
      </w:pPr>
      <w:r>
        <w:rPr>
          <w:rFonts w:hint="eastAsia"/>
          <w:sz w:val="24"/>
          <w:szCs w:val="24"/>
        </w:rPr>
        <w:t>4.4.1 结案后无长期保存必要</w:t>
      </w:r>
      <w:r>
        <w:rPr>
          <w:rFonts w:hint="eastAsia"/>
          <w:sz w:val="24"/>
          <w:szCs w:val="24"/>
          <w:lang w:val="en-US" w:eastAsia="zh-CN"/>
        </w:rPr>
        <w:t>的资料</w:t>
      </w:r>
      <w:r>
        <w:rPr>
          <w:rFonts w:hint="eastAsia"/>
          <w:sz w:val="24"/>
          <w:szCs w:val="24"/>
        </w:rPr>
        <w:t>；</w:t>
      </w:r>
    </w:p>
    <w:p>
      <w:pPr>
        <w:spacing w:line="360" w:lineRule="auto"/>
        <w:ind w:firstLine="480" w:firstLineChars="200"/>
        <w:rPr>
          <w:sz w:val="24"/>
          <w:szCs w:val="24"/>
        </w:rPr>
      </w:pPr>
      <w:r>
        <w:rPr>
          <w:rFonts w:hint="eastAsia"/>
          <w:sz w:val="24"/>
          <w:szCs w:val="24"/>
        </w:rPr>
        <w:t>4.4.2 其他经核定无需继续保存的档案资料。</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5.档案管理流程</w:t>
      </w:r>
    </w:p>
    <w:tbl>
      <w:tblPr>
        <w:tblStyle w:val="9"/>
        <w:tblW w:w="9065" w:type="dxa"/>
        <w:tblInd w:w="-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2"/>
        <w:gridCol w:w="3174"/>
        <w:gridCol w:w="2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82" w:type="dxa"/>
            <w:shd w:val="clear" w:color="auto" w:fill="auto"/>
            <w:vAlign w:val="center"/>
          </w:tcPr>
          <w:p>
            <w:pPr>
              <w:ind w:firstLine="420" w:firstLineChars="200"/>
              <w:jc w:val="center"/>
            </w:pPr>
            <w:r>
              <w:rPr>
                <w:rFonts w:hint="eastAsia"/>
              </w:rPr>
              <w:t>各部门档案管理人员/负责人</w:t>
            </w:r>
          </w:p>
        </w:tc>
        <w:tc>
          <w:tcPr>
            <w:tcW w:w="3174" w:type="dxa"/>
            <w:shd w:val="clear" w:color="auto" w:fill="auto"/>
            <w:vAlign w:val="center"/>
          </w:tcPr>
          <w:p>
            <w:pPr>
              <w:ind w:firstLine="420" w:firstLineChars="200"/>
              <w:jc w:val="center"/>
            </w:pPr>
            <w:r>
              <w:rPr>
                <w:rFonts w:hint="eastAsia"/>
              </w:rPr>
              <w:t>行政部门档案管理相关人员</w:t>
            </w:r>
          </w:p>
        </w:tc>
        <w:tc>
          <w:tcPr>
            <w:tcW w:w="2509" w:type="dxa"/>
            <w:shd w:val="clear" w:color="auto" w:fill="auto"/>
            <w:vAlign w:val="center"/>
          </w:tcPr>
          <w:p>
            <w:pPr>
              <w:ind w:firstLine="420" w:firstLineChars="200"/>
              <w:jc w:val="center"/>
            </w:pPr>
            <w:r>
              <w:rPr>
                <w:rFonts w:hint="eastAsia"/>
              </w:rPr>
              <w:t>秘书处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05" w:hRule="atLeast"/>
        </w:trPr>
        <w:tc>
          <w:tcPr>
            <w:tcW w:w="3382" w:type="dxa"/>
            <w:shd w:val="clear" w:color="auto" w:fill="auto"/>
          </w:tcPr>
          <w:p>
            <w:pPr>
              <w:ind w:firstLine="420" w:firstLineChars="200"/>
            </w:pPr>
            <w:r>
              <mc:AlternateContent>
                <mc:Choice Requires="wpg">
                  <w:drawing>
                    <wp:anchor distT="0" distB="0" distL="114300" distR="114300" simplePos="0" relativeHeight="251660288" behindDoc="0" locked="0" layoutInCell="1" allowOverlap="1">
                      <wp:simplePos x="0" y="0"/>
                      <wp:positionH relativeFrom="column">
                        <wp:posOffset>161925</wp:posOffset>
                      </wp:positionH>
                      <wp:positionV relativeFrom="paragraph">
                        <wp:posOffset>222250</wp:posOffset>
                      </wp:positionV>
                      <wp:extent cx="5162550" cy="6581775"/>
                      <wp:effectExtent l="0" t="0" r="38100" b="28575"/>
                      <wp:wrapNone/>
                      <wp:docPr id="141" name="组合 141"/>
                      <wp:cNvGraphicFramePr/>
                      <a:graphic xmlns:a="http://schemas.openxmlformats.org/drawingml/2006/main">
                        <a:graphicData uri="http://schemas.microsoft.com/office/word/2010/wordprocessingGroup">
                          <wpg:wgp>
                            <wpg:cNvGrpSpPr/>
                            <wpg:grpSpPr>
                              <a:xfrm>
                                <a:off x="0" y="0"/>
                                <a:ext cx="5162550" cy="6581775"/>
                                <a:chOff x="1545" y="4530"/>
                                <a:chExt cx="8130" cy="10365"/>
                              </a:xfrm>
                            </wpg:grpSpPr>
                            <wps:wsp>
                              <wps:cNvPr id="142" name="Text Box 135"/>
                              <wps:cNvSpPr txBox="1">
                                <a:spLocks noChangeArrowheads="1"/>
                              </wps:cNvSpPr>
                              <wps:spPr bwMode="auto">
                                <a:xfrm>
                                  <a:off x="1545" y="4530"/>
                                  <a:ext cx="1950" cy="765"/>
                                </a:xfrm>
                                <a:prstGeom prst="rect">
                                  <a:avLst/>
                                </a:prstGeom>
                                <a:noFill/>
                                <a:ln w="15875">
                                  <a:solidFill>
                                    <a:srgbClr val="000000"/>
                                  </a:solidFill>
                                  <a:miter lim="800000"/>
                                </a:ln>
                              </wps:spPr>
                              <wps:txbx>
                                <w:txbxContent>
                                  <w:p>
                                    <w:pPr>
                                      <w:jc w:val="center"/>
                                    </w:pPr>
                                    <w:r>
                                      <w:rPr>
                                        <w:rFonts w:hint="eastAsia"/>
                                      </w:rPr>
                                      <w:t>执行相关档案管理制度</w:t>
                                    </w:r>
                                  </w:p>
                                </w:txbxContent>
                              </wps:txbx>
                              <wps:bodyPr rot="0" vert="horz" wrap="square" lIns="91440" tIns="45720" rIns="91440" bIns="45720" anchor="t" anchorCtr="0" upright="1">
                                <a:noAutofit/>
                              </wps:bodyPr>
                            </wps:wsp>
                            <wps:wsp>
                              <wps:cNvPr id="143" name="Text Box 136"/>
                              <wps:cNvSpPr txBox="1">
                                <a:spLocks noChangeArrowheads="1"/>
                              </wps:cNvSpPr>
                              <wps:spPr bwMode="auto">
                                <a:xfrm>
                                  <a:off x="4560" y="4530"/>
                                  <a:ext cx="1950" cy="765"/>
                                </a:xfrm>
                                <a:prstGeom prst="rect">
                                  <a:avLst/>
                                </a:prstGeom>
                                <a:noFill/>
                                <a:ln w="15875">
                                  <a:solidFill>
                                    <a:srgbClr val="000000"/>
                                  </a:solidFill>
                                  <a:miter lim="800000"/>
                                </a:ln>
                              </wps:spPr>
                              <wps:txbx>
                                <w:txbxContent>
                                  <w:p>
                                    <w:pPr>
                                      <w:jc w:val="center"/>
                                    </w:pPr>
                                    <w:r>
                                      <w:rPr>
                                        <w:rFonts w:hint="eastAsia"/>
                                      </w:rPr>
                                      <w:t>建立、完善档案管理制度</w:t>
                                    </w:r>
                                  </w:p>
                                </w:txbxContent>
                              </wps:txbx>
                              <wps:bodyPr rot="0" vert="horz" wrap="square" lIns="91440" tIns="45720" rIns="91440" bIns="45720" anchor="t" anchorCtr="0" upright="1">
                                <a:noAutofit/>
                              </wps:bodyPr>
                            </wps:wsp>
                            <wps:wsp>
                              <wps:cNvPr id="144" name="Text Box 137"/>
                              <wps:cNvSpPr txBox="1">
                                <a:spLocks noChangeArrowheads="1"/>
                              </wps:cNvSpPr>
                              <wps:spPr bwMode="auto">
                                <a:xfrm>
                                  <a:off x="1545" y="5745"/>
                                  <a:ext cx="1950" cy="450"/>
                                </a:xfrm>
                                <a:prstGeom prst="rect">
                                  <a:avLst/>
                                </a:prstGeom>
                                <a:noFill/>
                                <a:ln w="15875">
                                  <a:solidFill>
                                    <a:srgbClr val="000000"/>
                                  </a:solidFill>
                                  <a:miter lim="800000"/>
                                </a:ln>
                              </wps:spPr>
                              <wps:txbx>
                                <w:txbxContent>
                                  <w:p>
                                    <w:pPr>
                                      <w:jc w:val="center"/>
                                    </w:pPr>
                                    <w:r>
                                      <w:rPr>
                                        <w:rFonts w:hint="eastAsia"/>
                                      </w:rPr>
                                      <w:t>收集资料</w:t>
                                    </w:r>
                                  </w:p>
                                </w:txbxContent>
                              </wps:txbx>
                              <wps:bodyPr rot="0" vert="horz" wrap="square" lIns="91440" tIns="45720" rIns="91440" bIns="45720" anchor="t" anchorCtr="0" upright="1">
                                <a:noAutofit/>
                              </wps:bodyPr>
                            </wps:wsp>
                            <wps:wsp>
                              <wps:cNvPr id="145" name="Text Box 138"/>
                              <wps:cNvSpPr txBox="1">
                                <a:spLocks noChangeArrowheads="1"/>
                              </wps:cNvSpPr>
                              <wps:spPr bwMode="auto">
                                <a:xfrm>
                                  <a:off x="1545" y="6675"/>
                                  <a:ext cx="1950" cy="450"/>
                                </a:xfrm>
                                <a:prstGeom prst="rect">
                                  <a:avLst/>
                                </a:prstGeom>
                                <a:noFill/>
                                <a:ln w="15875">
                                  <a:solidFill>
                                    <a:srgbClr val="000000"/>
                                  </a:solidFill>
                                  <a:miter lim="800000"/>
                                </a:ln>
                              </wps:spPr>
                              <wps:txbx>
                                <w:txbxContent>
                                  <w:p>
                                    <w:pPr>
                                      <w:jc w:val="center"/>
                                    </w:pPr>
                                    <w:r>
                                      <w:rPr>
                                        <w:rFonts w:hint="eastAsia"/>
                                      </w:rPr>
                                      <w:t>整理目录</w:t>
                                    </w:r>
                                  </w:p>
                                </w:txbxContent>
                              </wps:txbx>
                              <wps:bodyPr rot="0" vert="horz" wrap="square" lIns="91440" tIns="45720" rIns="91440" bIns="45720" anchor="t" anchorCtr="0" upright="1">
                                <a:noAutofit/>
                              </wps:bodyPr>
                            </wps:wsp>
                            <wps:wsp>
                              <wps:cNvPr id="146" name="Text Box 139"/>
                              <wps:cNvSpPr txBox="1">
                                <a:spLocks noChangeArrowheads="1"/>
                              </wps:cNvSpPr>
                              <wps:spPr bwMode="auto">
                                <a:xfrm>
                                  <a:off x="1545" y="7635"/>
                                  <a:ext cx="1950" cy="450"/>
                                </a:xfrm>
                                <a:prstGeom prst="rect">
                                  <a:avLst/>
                                </a:prstGeom>
                                <a:noFill/>
                                <a:ln w="15875">
                                  <a:solidFill>
                                    <a:srgbClr val="000000"/>
                                  </a:solidFill>
                                  <a:miter lim="800000"/>
                                </a:ln>
                              </wps:spPr>
                              <wps:txbx>
                                <w:txbxContent>
                                  <w:p>
                                    <w:pPr>
                                      <w:jc w:val="center"/>
                                    </w:pPr>
                                    <w:r>
                                      <w:rPr>
                                        <w:rFonts w:hint="eastAsia"/>
                                      </w:rPr>
                                      <w:t>资料归档</w:t>
                                    </w:r>
                                  </w:p>
                                </w:txbxContent>
                              </wps:txbx>
                              <wps:bodyPr rot="0" vert="horz" wrap="square" lIns="91440" tIns="45720" rIns="91440" bIns="45720" anchor="t" anchorCtr="0" upright="1">
                                <a:noAutofit/>
                              </wps:bodyPr>
                            </wps:wsp>
                            <wps:wsp>
                              <wps:cNvPr id="147" name="AutoShape 140"/>
                              <wps:cNvSpPr>
                                <a:spLocks noChangeArrowheads="1"/>
                              </wps:cNvSpPr>
                              <wps:spPr bwMode="auto">
                                <a:xfrm>
                                  <a:off x="4335" y="7440"/>
                                  <a:ext cx="2325" cy="855"/>
                                </a:xfrm>
                                <a:prstGeom prst="diamond">
                                  <a:avLst/>
                                </a:prstGeom>
                                <a:noFill/>
                                <a:ln w="15875">
                                  <a:solidFill>
                                    <a:srgbClr val="000000"/>
                                  </a:solidFill>
                                  <a:miter lim="800000"/>
                                </a:ln>
                              </wps:spPr>
                              <wps:txbx>
                                <w:txbxContent>
                                  <w:p>
                                    <w:pPr>
                                      <w:jc w:val="center"/>
                                    </w:pPr>
                                    <w:r>
                                      <w:rPr>
                                        <w:rFonts w:hint="eastAsia"/>
                                      </w:rPr>
                                      <w:t>审阅检查</w:t>
                                    </w:r>
                                  </w:p>
                                </w:txbxContent>
                              </wps:txbx>
                              <wps:bodyPr rot="0" vert="horz" wrap="square" lIns="91440" tIns="45720" rIns="91440" bIns="45720" anchor="t" anchorCtr="0" upright="1">
                                <a:noAutofit/>
                              </wps:bodyPr>
                            </wps:wsp>
                            <wps:wsp>
                              <wps:cNvPr id="148" name="Text Box 141"/>
                              <wps:cNvSpPr txBox="1">
                                <a:spLocks noChangeArrowheads="1"/>
                              </wps:cNvSpPr>
                              <wps:spPr bwMode="auto">
                                <a:xfrm>
                                  <a:off x="4545" y="9165"/>
                                  <a:ext cx="1950" cy="450"/>
                                </a:xfrm>
                                <a:prstGeom prst="rect">
                                  <a:avLst/>
                                </a:prstGeom>
                                <a:noFill/>
                                <a:ln w="15875">
                                  <a:solidFill>
                                    <a:srgbClr val="000000"/>
                                  </a:solidFill>
                                  <a:miter lim="800000"/>
                                </a:ln>
                              </wps:spPr>
                              <wps:txbx>
                                <w:txbxContent>
                                  <w:p>
                                    <w:pPr>
                                      <w:jc w:val="center"/>
                                    </w:pPr>
                                    <w:r>
                                      <w:rPr>
                                        <w:rFonts w:hint="eastAsia"/>
                                      </w:rPr>
                                      <w:t>建立整体目录</w:t>
                                    </w:r>
                                  </w:p>
                                </w:txbxContent>
                              </wps:txbx>
                              <wps:bodyPr rot="0" vert="horz" wrap="square" lIns="91440" tIns="45720" rIns="91440" bIns="45720" anchor="t" anchorCtr="0" upright="1">
                                <a:noAutofit/>
                              </wps:bodyPr>
                            </wps:wsp>
                            <wps:wsp>
                              <wps:cNvPr id="149" name="Text Box 142"/>
                              <wps:cNvSpPr txBox="1">
                                <a:spLocks noChangeArrowheads="1"/>
                              </wps:cNvSpPr>
                              <wps:spPr bwMode="auto">
                                <a:xfrm>
                                  <a:off x="4560" y="10125"/>
                                  <a:ext cx="1950" cy="450"/>
                                </a:xfrm>
                                <a:prstGeom prst="rect">
                                  <a:avLst/>
                                </a:prstGeom>
                                <a:noFill/>
                                <a:ln w="15875">
                                  <a:solidFill>
                                    <a:srgbClr val="000000"/>
                                  </a:solidFill>
                                  <a:miter lim="800000"/>
                                </a:ln>
                              </wps:spPr>
                              <wps:txbx>
                                <w:txbxContent>
                                  <w:p>
                                    <w:pPr>
                                      <w:jc w:val="center"/>
                                    </w:pPr>
                                    <w:r>
                                      <w:rPr>
                                        <w:rFonts w:hint="eastAsia"/>
                                      </w:rPr>
                                      <w:t>保管利用</w:t>
                                    </w:r>
                                  </w:p>
                                </w:txbxContent>
                              </wps:txbx>
                              <wps:bodyPr rot="0" vert="horz" wrap="square" lIns="91440" tIns="45720" rIns="91440" bIns="45720" anchor="t" anchorCtr="0" upright="1">
                                <a:noAutofit/>
                              </wps:bodyPr>
                            </wps:wsp>
                            <wps:wsp>
                              <wps:cNvPr id="150" name="Text Box 143"/>
                              <wps:cNvSpPr txBox="1">
                                <a:spLocks noChangeArrowheads="1"/>
                              </wps:cNvSpPr>
                              <wps:spPr bwMode="auto">
                                <a:xfrm>
                                  <a:off x="4560" y="11040"/>
                                  <a:ext cx="1950" cy="450"/>
                                </a:xfrm>
                                <a:prstGeom prst="rect">
                                  <a:avLst/>
                                </a:prstGeom>
                                <a:noFill/>
                                <a:ln w="15875">
                                  <a:solidFill>
                                    <a:srgbClr val="000000"/>
                                  </a:solidFill>
                                  <a:miter lim="800000"/>
                                </a:ln>
                              </wps:spPr>
                              <wps:txbx>
                                <w:txbxContent>
                                  <w:p>
                                    <w:pPr>
                                      <w:jc w:val="center"/>
                                    </w:pPr>
                                    <w:r>
                                      <w:rPr>
                                        <w:rFonts w:hint="eastAsia"/>
                                      </w:rPr>
                                      <w:t>定期检查</w:t>
                                    </w:r>
                                  </w:p>
                                </w:txbxContent>
                              </wps:txbx>
                              <wps:bodyPr rot="0" vert="horz" wrap="square" lIns="91440" tIns="45720" rIns="91440" bIns="45720" anchor="t" anchorCtr="0" upright="1">
                                <a:noAutofit/>
                              </wps:bodyPr>
                            </wps:wsp>
                            <wps:wsp>
                              <wps:cNvPr id="151" name="Text Box 144"/>
                              <wps:cNvSpPr txBox="1">
                                <a:spLocks noChangeArrowheads="1"/>
                              </wps:cNvSpPr>
                              <wps:spPr bwMode="auto">
                                <a:xfrm>
                                  <a:off x="1575" y="10920"/>
                                  <a:ext cx="1950" cy="720"/>
                                </a:xfrm>
                                <a:prstGeom prst="rect">
                                  <a:avLst/>
                                </a:prstGeom>
                                <a:noFill/>
                                <a:ln w="15875">
                                  <a:solidFill>
                                    <a:srgbClr val="000000"/>
                                  </a:solidFill>
                                  <a:miter lim="800000"/>
                                </a:ln>
                              </wps:spPr>
                              <wps:txbx>
                                <w:txbxContent>
                                  <w:p>
                                    <w:pPr>
                                      <w:jc w:val="center"/>
                                    </w:pPr>
                                    <w:r>
                                      <w:rPr>
                                        <w:rFonts w:hint="eastAsia"/>
                                      </w:rPr>
                                      <w:t>配合完成定期检查工作</w:t>
                                    </w:r>
                                  </w:p>
                                </w:txbxContent>
                              </wps:txbx>
                              <wps:bodyPr rot="0" vert="horz" wrap="square" lIns="91440" tIns="45720" rIns="91440" bIns="45720" anchor="t" anchorCtr="0" upright="1">
                                <a:noAutofit/>
                              </wps:bodyPr>
                            </wps:wsp>
                            <wps:wsp>
                              <wps:cNvPr id="152" name="Text Box 145"/>
                              <wps:cNvSpPr txBox="1">
                                <a:spLocks noChangeArrowheads="1"/>
                              </wps:cNvSpPr>
                              <wps:spPr bwMode="auto">
                                <a:xfrm>
                                  <a:off x="4575" y="12000"/>
                                  <a:ext cx="1950" cy="450"/>
                                </a:xfrm>
                                <a:prstGeom prst="rect">
                                  <a:avLst/>
                                </a:prstGeom>
                                <a:noFill/>
                                <a:ln w="15875">
                                  <a:solidFill>
                                    <a:srgbClr val="000000"/>
                                  </a:solidFill>
                                  <a:miter lim="800000"/>
                                </a:ln>
                              </wps:spPr>
                              <wps:txbx>
                                <w:txbxContent>
                                  <w:p>
                                    <w:pPr>
                                      <w:jc w:val="center"/>
                                    </w:pPr>
                                    <w:r>
                                      <w:rPr>
                                        <w:rFonts w:hint="eastAsia"/>
                                      </w:rPr>
                                      <w:t>完成检查报告</w:t>
                                    </w:r>
                                  </w:p>
                                </w:txbxContent>
                              </wps:txbx>
                              <wps:bodyPr rot="0" vert="horz" wrap="square" lIns="91440" tIns="45720" rIns="91440" bIns="45720" anchor="t" anchorCtr="0" upright="1">
                                <a:noAutofit/>
                              </wps:bodyPr>
                            </wps:wsp>
                            <wps:wsp>
                              <wps:cNvPr id="153" name="AutoShape 146"/>
                              <wps:cNvSpPr>
                                <a:spLocks noChangeArrowheads="1"/>
                              </wps:cNvSpPr>
                              <wps:spPr bwMode="auto">
                                <a:xfrm>
                                  <a:off x="7350" y="12705"/>
                                  <a:ext cx="2325" cy="855"/>
                                </a:xfrm>
                                <a:prstGeom prst="diamond">
                                  <a:avLst/>
                                </a:prstGeom>
                                <a:noFill/>
                                <a:ln w="15875">
                                  <a:solidFill>
                                    <a:srgbClr val="000000"/>
                                  </a:solidFill>
                                  <a:miter lim="800000"/>
                                </a:ln>
                              </wps:spPr>
                              <wps:txbx>
                                <w:txbxContent>
                                  <w:p>
                                    <w:pPr>
                                      <w:jc w:val="center"/>
                                    </w:pPr>
                                    <w:r>
                                      <w:rPr>
                                        <w:rFonts w:hint="eastAsia"/>
                                      </w:rPr>
                                      <w:t>审阅检查</w:t>
                                    </w:r>
                                  </w:p>
                                </w:txbxContent>
                              </wps:txbx>
                              <wps:bodyPr rot="0" vert="horz" wrap="square" lIns="91440" tIns="45720" rIns="91440" bIns="45720" anchor="t" anchorCtr="0" upright="1">
                                <a:noAutofit/>
                              </wps:bodyPr>
                            </wps:wsp>
                            <wps:wsp>
                              <wps:cNvPr id="154" name="Text Box 147"/>
                              <wps:cNvSpPr txBox="1">
                                <a:spLocks noChangeArrowheads="1"/>
                              </wps:cNvSpPr>
                              <wps:spPr bwMode="auto">
                                <a:xfrm>
                                  <a:off x="1575" y="14145"/>
                                  <a:ext cx="1950" cy="750"/>
                                </a:xfrm>
                                <a:prstGeom prst="rect">
                                  <a:avLst/>
                                </a:prstGeom>
                                <a:noFill/>
                                <a:ln w="15875">
                                  <a:solidFill>
                                    <a:srgbClr val="000000"/>
                                  </a:solidFill>
                                  <a:miter lim="800000"/>
                                </a:ln>
                              </wps:spPr>
                              <wps:txbx>
                                <w:txbxContent>
                                  <w:p>
                                    <w:pPr>
                                      <w:jc w:val="center"/>
                                    </w:pPr>
                                    <w:r>
                                      <w:rPr>
                                        <w:rFonts w:hint="eastAsia"/>
                                      </w:rPr>
                                      <w:t>对不合格项进行改进</w:t>
                                    </w:r>
                                  </w:p>
                                </w:txbxContent>
                              </wps:txbx>
                              <wps:bodyPr rot="0" vert="horz" wrap="square" lIns="91440" tIns="45720" rIns="91440" bIns="45720" anchor="t" anchorCtr="0" upright="1">
                                <a:noAutofit/>
                              </wps:bodyPr>
                            </wps:wsp>
                            <wps:wsp>
                              <wps:cNvPr id="155" name="AutoShape 148"/>
                              <wps:cNvCnPr>
                                <a:cxnSpLocks noChangeShapeType="1"/>
                              </wps:cNvCnPr>
                              <wps:spPr bwMode="auto">
                                <a:xfrm flipH="1">
                                  <a:off x="3495" y="4920"/>
                                  <a:ext cx="1077" cy="0"/>
                                </a:xfrm>
                                <a:prstGeom prst="straightConnector1">
                                  <a:avLst/>
                                </a:prstGeom>
                                <a:noFill/>
                                <a:ln w="15875">
                                  <a:solidFill>
                                    <a:srgbClr val="000000"/>
                                  </a:solidFill>
                                  <a:round/>
                                  <a:tailEnd type="triangle" w="med" len="med"/>
                                </a:ln>
                              </wps:spPr>
                              <wps:bodyPr/>
                            </wps:wsp>
                            <wps:wsp>
                              <wps:cNvPr id="156" name="AutoShape 149"/>
                              <wps:cNvCnPr>
                                <a:cxnSpLocks noChangeShapeType="1"/>
                              </wps:cNvCnPr>
                              <wps:spPr bwMode="auto">
                                <a:xfrm>
                                  <a:off x="2535" y="5295"/>
                                  <a:ext cx="0" cy="454"/>
                                </a:xfrm>
                                <a:prstGeom prst="straightConnector1">
                                  <a:avLst/>
                                </a:prstGeom>
                                <a:noFill/>
                                <a:ln w="15875">
                                  <a:solidFill>
                                    <a:srgbClr val="000000"/>
                                  </a:solidFill>
                                  <a:round/>
                                  <a:tailEnd type="triangle" w="med" len="med"/>
                                </a:ln>
                              </wps:spPr>
                              <wps:bodyPr/>
                            </wps:wsp>
                            <wps:wsp>
                              <wps:cNvPr id="157" name="AutoShape 150"/>
                              <wps:cNvCnPr>
                                <a:cxnSpLocks noChangeShapeType="1"/>
                              </wps:cNvCnPr>
                              <wps:spPr bwMode="auto">
                                <a:xfrm>
                                  <a:off x="2535" y="6195"/>
                                  <a:ext cx="1" cy="510"/>
                                </a:xfrm>
                                <a:prstGeom prst="straightConnector1">
                                  <a:avLst/>
                                </a:prstGeom>
                                <a:noFill/>
                                <a:ln w="15875">
                                  <a:solidFill>
                                    <a:srgbClr val="000000"/>
                                  </a:solidFill>
                                  <a:round/>
                                  <a:tailEnd type="triangle" w="med" len="med"/>
                                </a:ln>
                              </wps:spPr>
                              <wps:bodyPr/>
                            </wps:wsp>
                            <wps:wsp>
                              <wps:cNvPr id="158" name="AutoShape 151"/>
                              <wps:cNvCnPr>
                                <a:cxnSpLocks noChangeShapeType="1"/>
                              </wps:cNvCnPr>
                              <wps:spPr bwMode="auto">
                                <a:xfrm>
                                  <a:off x="2535" y="7125"/>
                                  <a:ext cx="1" cy="510"/>
                                </a:xfrm>
                                <a:prstGeom prst="straightConnector1">
                                  <a:avLst/>
                                </a:prstGeom>
                                <a:noFill/>
                                <a:ln w="15875">
                                  <a:solidFill>
                                    <a:srgbClr val="000000"/>
                                  </a:solidFill>
                                  <a:round/>
                                  <a:tailEnd type="triangle" w="med" len="med"/>
                                </a:ln>
                              </wps:spPr>
                              <wps:bodyPr/>
                            </wps:wsp>
                            <wps:wsp>
                              <wps:cNvPr id="159" name="AutoShape 152"/>
                              <wps:cNvCnPr>
                                <a:cxnSpLocks noChangeShapeType="1"/>
                              </wps:cNvCnPr>
                              <wps:spPr bwMode="auto">
                                <a:xfrm>
                                  <a:off x="3495" y="7860"/>
                                  <a:ext cx="840" cy="0"/>
                                </a:xfrm>
                                <a:prstGeom prst="straightConnector1">
                                  <a:avLst/>
                                </a:prstGeom>
                                <a:noFill/>
                                <a:ln w="15875">
                                  <a:solidFill>
                                    <a:srgbClr val="000000"/>
                                  </a:solidFill>
                                  <a:round/>
                                  <a:tailEnd type="triangle" w="med" len="med"/>
                                </a:ln>
                              </wps:spPr>
                              <wps:bodyPr/>
                            </wps:wsp>
                            <wps:wsp>
                              <wps:cNvPr id="160" name="AutoShape 153"/>
                              <wps:cNvCnPr>
                                <a:cxnSpLocks noChangeShapeType="1"/>
                              </wps:cNvCnPr>
                              <wps:spPr bwMode="auto">
                                <a:xfrm>
                                  <a:off x="5505" y="9615"/>
                                  <a:ext cx="0" cy="510"/>
                                </a:xfrm>
                                <a:prstGeom prst="straightConnector1">
                                  <a:avLst/>
                                </a:prstGeom>
                                <a:noFill/>
                                <a:ln w="15875">
                                  <a:solidFill>
                                    <a:srgbClr val="000000"/>
                                  </a:solidFill>
                                  <a:round/>
                                  <a:tailEnd type="triangle" w="med" len="med"/>
                                </a:ln>
                              </wps:spPr>
                              <wps:bodyPr/>
                            </wps:wsp>
                            <wps:wsp>
                              <wps:cNvPr id="161" name="AutoShape 154"/>
                              <wps:cNvCnPr>
                                <a:cxnSpLocks noChangeShapeType="1"/>
                              </wps:cNvCnPr>
                              <wps:spPr bwMode="auto">
                                <a:xfrm flipH="1">
                                  <a:off x="3525" y="11280"/>
                                  <a:ext cx="1035" cy="0"/>
                                </a:xfrm>
                                <a:prstGeom prst="straightConnector1">
                                  <a:avLst/>
                                </a:prstGeom>
                                <a:noFill/>
                                <a:ln w="15875">
                                  <a:solidFill>
                                    <a:srgbClr val="000000"/>
                                  </a:solidFill>
                                  <a:round/>
                                  <a:tailEnd type="triangle" w="med" len="med"/>
                                </a:ln>
                              </wps:spPr>
                              <wps:bodyPr/>
                            </wps:wsp>
                            <wps:wsp>
                              <wps:cNvPr id="162" name="AutoShape 155"/>
                              <wps:cNvCnPr>
                                <a:cxnSpLocks noChangeShapeType="1"/>
                              </wps:cNvCnPr>
                              <wps:spPr bwMode="auto">
                                <a:xfrm>
                                  <a:off x="5520" y="11490"/>
                                  <a:ext cx="0" cy="510"/>
                                </a:xfrm>
                                <a:prstGeom prst="straightConnector1">
                                  <a:avLst/>
                                </a:prstGeom>
                                <a:noFill/>
                                <a:ln w="15875">
                                  <a:solidFill>
                                    <a:srgbClr val="000000"/>
                                  </a:solidFill>
                                  <a:round/>
                                  <a:tailEnd type="triangle" w="med" len="med"/>
                                </a:ln>
                              </wps:spPr>
                              <wps:bodyPr/>
                            </wps:wsp>
                            <wps:wsp>
                              <wps:cNvPr id="163" name="AutoShape 156"/>
                              <wps:cNvCnPr>
                                <a:cxnSpLocks noChangeShapeType="1"/>
                              </wps:cNvCnPr>
                              <wps:spPr bwMode="auto">
                                <a:xfrm>
                                  <a:off x="5520" y="12450"/>
                                  <a:ext cx="1830" cy="690"/>
                                </a:xfrm>
                                <a:prstGeom prst="bentConnector3">
                                  <a:avLst>
                                    <a:gd name="adj1" fmla="val 0"/>
                                  </a:avLst>
                                </a:prstGeom>
                                <a:noFill/>
                                <a:ln w="15875">
                                  <a:solidFill>
                                    <a:srgbClr val="000000"/>
                                  </a:solidFill>
                                  <a:miter lim="800000"/>
                                  <a:tailEnd type="triangle" w="med" len="med"/>
                                </a:ln>
                              </wps:spPr>
                              <wps:bodyPr/>
                            </wps:wsp>
                            <wps:wsp>
                              <wps:cNvPr id="164" name="AutoShape 157"/>
                              <wps:cNvCnPr>
                                <a:cxnSpLocks noChangeShapeType="1"/>
                              </wps:cNvCnPr>
                              <wps:spPr bwMode="auto">
                                <a:xfrm rot="10800000" flipV="1">
                                  <a:off x="3525" y="13560"/>
                                  <a:ext cx="4980" cy="960"/>
                                </a:xfrm>
                                <a:prstGeom prst="bentConnector3">
                                  <a:avLst>
                                    <a:gd name="adj1" fmla="val -306"/>
                                  </a:avLst>
                                </a:prstGeom>
                                <a:noFill/>
                                <a:ln w="15875">
                                  <a:solidFill>
                                    <a:srgbClr val="000000"/>
                                  </a:solidFill>
                                  <a:miter lim="800000"/>
                                  <a:tailEnd type="triangle" w="med" len="med"/>
                                </a:ln>
                              </wps:spPr>
                              <wps:bodyPr/>
                            </wps:wsp>
                            <wps:wsp>
                              <wps:cNvPr id="166" name="AutoShape 159"/>
                              <wps:cNvCnPr>
                                <a:cxnSpLocks noChangeShapeType="1"/>
                              </wps:cNvCnPr>
                              <wps:spPr bwMode="auto">
                                <a:xfrm rot="10800000">
                                  <a:off x="3495" y="6870"/>
                                  <a:ext cx="2010" cy="570"/>
                                </a:xfrm>
                                <a:prstGeom prst="bentConnector3">
                                  <a:avLst>
                                    <a:gd name="adj1" fmla="val 745"/>
                                  </a:avLst>
                                </a:prstGeom>
                                <a:noFill/>
                                <a:ln w="15875">
                                  <a:solidFill>
                                    <a:srgbClr val="000000"/>
                                  </a:solidFill>
                                  <a:miter lim="800000"/>
                                  <a:tailEnd type="triangle" w="med" len="med"/>
                                </a:ln>
                              </wps:spPr>
                              <wps:bodyPr/>
                            </wps:wsp>
                            <wps:wsp>
                              <wps:cNvPr id="167" name="Text Box 160"/>
                              <wps:cNvSpPr txBox="1">
                                <a:spLocks noChangeArrowheads="1"/>
                              </wps:cNvSpPr>
                              <wps:spPr bwMode="auto">
                                <a:xfrm>
                                  <a:off x="4230" y="6645"/>
                                  <a:ext cx="450" cy="435"/>
                                </a:xfrm>
                                <a:prstGeom prst="rect">
                                  <a:avLst/>
                                </a:prstGeom>
                                <a:solidFill>
                                  <a:srgbClr val="FFFFFF"/>
                                </a:solidFill>
                                <a:ln>
                                  <a:noFill/>
                                </a:ln>
                              </wps:spPr>
                              <wps:txbx>
                                <w:txbxContent>
                                  <w:p>
                                    <w:r>
                                      <w:rPr>
                                        <w:rFonts w:hint="eastAsia"/>
                                      </w:rPr>
                                      <w:t>N</w:t>
                                    </w:r>
                                  </w:p>
                                </w:txbxContent>
                              </wps:txbx>
                              <wps:bodyPr rot="0" vert="horz" wrap="square" lIns="91440" tIns="45720" rIns="91440" bIns="45720" anchor="t" anchorCtr="0" upright="1">
                                <a:noAutofit/>
                              </wps:bodyPr>
                            </wps:wsp>
                            <wps:wsp>
                              <wps:cNvPr id="168" name="Text Box 161"/>
                              <wps:cNvSpPr txBox="1">
                                <a:spLocks noChangeArrowheads="1"/>
                              </wps:cNvSpPr>
                              <wps:spPr bwMode="auto">
                                <a:xfrm>
                                  <a:off x="5790" y="14280"/>
                                  <a:ext cx="450" cy="435"/>
                                </a:xfrm>
                                <a:prstGeom prst="rect">
                                  <a:avLst/>
                                </a:prstGeom>
                                <a:solidFill>
                                  <a:srgbClr val="FFFFFF"/>
                                </a:solidFill>
                                <a:ln>
                                  <a:noFill/>
                                </a:ln>
                              </wps:spPr>
                              <wps:txbx>
                                <w:txbxContent>
                                  <w:p>
                                    <w:r>
                                      <w:rPr>
                                        <w:rFonts w:hint="eastAsia"/>
                                      </w:rPr>
                                      <w:t>N</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2.75pt;margin-top:17.5pt;height:518.25pt;width:406.5pt;z-index:251660288;mso-width-relative:page;mso-height-relative:page;" coordorigin="1545,4530" coordsize="8130,10365" o:gfxdata="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">
                      <o:lock v:ext="edit" aspectratio="f"/>
                      <v:shape id="Text Box 135" o:spid="_x0000_s1026" o:spt="202" type="#_x0000_t202" style="position:absolute;left:1545;top:4530;height:765;width:1950;" filled="f" stroked="t" coordsize="21600,21600" o:gfxdata="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cBcG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w:txbxContent>
                            <w:p>
                              <w:pPr>
                                <w:jc w:val="center"/>
                              </w:pPr>
                              <w:r>
                                <w:rPr>
                                  <w:rFonts w:hint="eastAsia"/>
                                </w:rPr>
                                <w:t>执行相关档案管理制度</w:t>
                              </w:r>
                            </w:p>
                          </w:txbxContent>
                        </v:textbox>
                      </v:shape>
                      <v:shape id="Text Box 136" o:spid="_x0000_s1026" o:spt="202" type="#_x0000_t202" style="position:absolute;left:4560;top:4530;height:765;width:1950;" filled="f" stroked="t" coordsize="21600,21600" o:gfxdata="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8sp28AAAA&#10;3AAAAA8AAAAAAAAAAQAgAAAAIgAAAGRycy9kb3ducmV2LnhtbFBLAQIUABQAAAAIAIdO4kAzLwWe&#10;OwAAADkAAAAQAAAAAAAAAAEAIAAAAAsBAABkcnMvc2hhcGV4bWwueG1sUEsFBgAAAAAGAAYAWwEA&#10;ALUDAAAAAA==&#10;">
                        <v:fill on="f" focussize="0,0"/>
                        <v:stroke weight="1.25pt" color="#000000" miterlimit="8" joinstyle="miter"/>
                        <v:imagedata o:title=""/>
                        <o:lock v:ext="edit" aspectratio="f"/>
                        <v:textbox>
                          <w:txbxContent>
                            <w:p>
                              <w:pPr>
                                <w:jc w:val="center"/>
                              </w:pPr>
                              <w:r>
                                <w:rPr>
                                  <w:rFonts w:hint="eastAsia"/>
                                </w:rPr>
                                <w:t>建立、完善档案管理制度</w:t>
                              </w:r>
                            </w:p>
                          </w:txbxContent>
                        </v:textbox>
                      </v:shape>
                      <v:shape id="Text Box 137" o:spid="_x0000_s1026" o:spt="202" type="#_x0000_t202" style="position:absolute;left:1545;top:5745;height:450;width:1950;" filled="f" stroked="t" coordsize="21600,21600" o:gfxdata="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nVKum8AAAA&#10;3AAAAA8AAAAAAAAAAQAgAAAAIgAAAGRycy9kb3ducmV2LnhtbFBLAQIUABQAAAAIAIdO4kAzLwWe&#10;OwAAADkAAAAQAAAAAAAAAAEAIAAAAAsBAABkcnMvc2hhcGV4bWwueG1sUEsFBgAAAAAGAAYAWwEA&#10;ALUDAAAAAA==&#10;">
                        <v:fill on="f" focussize="0,0"/>
                        <v:stroke weight="1.25pt" color="#000000" miterlimit="8" joinstyle="miter"/>
                        <v:imagedata o:title=""/>
                        <o:lock v:ext="edit" aspectratio="f"/>
                        <v:textbox>
                          <w:txbxContent>
                            <w:p>
                              <w:pPr>
                                <w:jc w:val="center"/>
                              </w:pPr>
                              <w:r>
                                <w:rPr>
                                  <w:rFonts w:hint="eastAsia"/>
                                </w:rPr>
                                <w:t>收集资料</w:t>
                              </w:r>
                            </w:p>
                          </w:txbxContent>
                        </v:textbox>
                      </v:shape>
                      <v:shape id="Text Box 138" o:spid="_x0000_s1026" o:spt="202" type="#_x0000_t202" style="position:absolute;left:1545;top:6675;height:450;width:1950;" filled="f" stroked="t" coordsize="21600,21600" o:gfxdata="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Zj3K8AAAA&#10;3AAAAA8AAAAAAAAAAQAgAAAAIgAAAGRycy9kb3ducmV2LnhtbFBLAQIUABQAAAAIAIdO4kAzLwWe&#10;OwAAADkAAAAQAAAAAAAAAAEAIAAAAAsBAABkcnMvc2hhcGV4bWwueG1sUEsFBgAAAAAGAAYAWwEA&#10;ALUDAAAAAA==&#10;">
                        <v:fill on="f" focussize="0,0"/>
                        <v:stroke weight="1.25pt" color="#000000" miterlimit="8" joinstyle="miter"/>
                        <v:imagedata o:title=""/>
                        <o:lock v:ext="edit" aspectratio="f"/>
                        <v:textbox>
                          <w:txbxContent>
                            <w:p>
                              <w:pPr>
                                <w:jc w:val="center"/>
                              </w:pPr>
                              <w:r>
                                <w:rPr>
                                  <w:rFonts w:hint="eastAsia"/>
                                </w:rPr>
                                <w:t>整理目录</w:t>
                              </w:r>
                            </w:p>
                          </w:txbxContent>
                        </v:textbox>
                      </v:shape>
                      <v:shape id="Text Box 139" o:spid="_x0000_s1026" o:spt="202" type="#_x0000_t202" style="position:absolute;left:1545;top:7635;height:450;width:1950;" filled="f" stroked="t" coordsize="21600,21600" o:gfxdata="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ZLEQW8AAAA&#10;3AAAAA8AAAAAAAAAAQAgAAAAIgAAAGRycy9kb3ducmV2LnhtbFBLAQIUABQAAAAIAIdO4kAzLwWe&#10;OwAAADkAAAAQAAAAAAAAAAEAIAAAAAsBAABkcnMvc2hhcGV4bWwueG1sUEsFBgAAAAAGAAYAWwEA&#10;ALUDAAAAAA==&#10;">
                        <v:fill on="f" focussize="0,0"/>
                        <v:stroke weight="1.25pt" color="#000000" miterlimit="8" joinstyle="miter"/>
                        <v:imagedata o:title=""/>
                        <o:lock v:ext="edit" aspectratio="f"/>
                        <v:textbox>
                          <w:txbxContent>
                            <w:p>
                              <w:pPr>
                                <w:jc w:val="center"/>
                              </w:pPr>
                              <w:r>
                                <w:rPr>
                                  <w:rFonts w:hint="eastAsia"/>
                                </w:rPr>
                                <w:t>资料归档</w:t>
                              </w:r>
                            </w:p>
                          </w:txbxContent>
                        </v:textbox>
                      </v:shape>
                      <v:shape id="AutoShape 140" o:spid="_x0000_s1026" o:spt="4" type="#_x0000_t4" style="position:absolute;left:4335;top:7440;height:855;width:2325;" filled="f" stroked="t" coordsize="21600,21600" o:gfxdata="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kEUJ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w:txbxContent>
                            <w:p>
                              <w:pPr>
                                <w:jc w:val="center"/>
                              </w:pPr>
                              <w:r>
                                <w:rPr>
                                  <w:rFonts w:hint="eastAsia"/>
                                </w:rPr>
                                <w:t>审阅检查</w:t>
                              </w:r>
                            </w:p>
                          </w:txbxContent>
                        </v:textbox>
                      </v:shape>
                      <v:shape id="Text Box 141" o:spid="_x0000_s1026" o:spt="202" type="#_x0000_t202" style="position:absolute;left:4545;top:9165;height:450;width:1950;" filled="f" stroked="t" coordsize="21600,21600" o:gfxdata="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YIOy8AAAA&#10;3AAAAA8AAAAAAAAAAQAgAAAAIgAAAGRycy9kb3ducmV2LnhtbFBLAQIUABQAAAAIAIdO4kAzLwWe&#10;OwAAADkAAAAQAAAAAAAAAAEAIAAAAAsBAABkcnMvc2hhcGV4bWwueG1sUEsFBgAAAAAGAAYAWwEA&#10;ALUDAAAAAA==&#10;">
                        <v:fill on="f" focussize="0,0"/>
                        <v:stroke weight="1.25pt" color="#000000" miterlimit="8" joinstyle="miter"/>
                        <v:imagedata o:title=""/>
                        <o:lock v:ext="edit" aspectratio="f"/>
                        <v:textbox>
                          <w:txbxContent>
                            <w:p>
                              <w:pPr>
                                <w:jc w:val="center"/>
                              </w:pPr>
                              <w:r>
                                <w:rPr>
                                  <w:rFonts w:hint="eastAsia"/>
                                </w:rPr>
                                <w:t>建立整体目录</w:t>
                              </w:r>
                            </w:p>
                          </w:txbxContent>
                        </v:textbox>
                      </v:shape>
                      <v:shape id="Text Box 142" o:spid="_x0000_s1026" o:spt="202" type="#_x0000_t202" style="position:absolute;left:4560;top:10125;height:450;width:1950;" filled="f" stroked="t" coordsize="21600,21600" o:gfxdata="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UhXe8AAAA&#10;3AAAAA8AAAAAAAAAAQAgAAAAIgAAAGRycy9kb3ducmV2LnhtbFBLAQIUABQAAAAIAIdO4kAzLwWe&#10;OwAAADkAAAAQAAAAAAAAAAEAIAAAAAsBAABkcnMvc2hhcGV4bWwueG1sUEsFBgAAAAAGAAYAWwEA&#10;ALUDAAAAAA==&#10;">
                        <v:fill on="f" focussize="0,0"/>
                        <v:stroke weight="1.25pt" color="#000000" miterlimit="8" joinstyle="miter"/>
                        <v:imagedata o:title=""/>
                        <o:lock v:ext="edit" aspectratio="f"/>
                        <v:textbox>
                          <w:txbxContent>
                            <w:p>
                              <w:pPr>
                                <w:jc w:val="center"/>
                              </w:pPr>
                              <w:r>
                                <w:rPr>
                                  <w:rFonts w:hint="eastAsia"/>
                                </w:rPr>
                                <w:t>保管利用</w:t>
                              </w:r>
                            </w:p>
                          </w:txbxContent>
                        </v:textbox>
                      </v:shape>
                      <v:shape id="Text Box 143" o:spid="_x0000_s1026" o:spt="202" type="#_x0000_t202" style="position:absolute;left:4560;top:11040;height:450;width:1950;" filled="f" stroked="t" coordsize="21600,21600" o:gfxdata="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3uje8AAAA&#10;3AAAAA8AAAAAAAAAAQAgAAAAIgAAAGRycy9kb3ducmV2LnhtbFBLAQIUABQAAAAIAIdO4kAzLwWe&#10;OwAAADkAAAAQAAAAAAAAAAEAIAAAAAsBAABkcnMvc2hhcGV4bWwueG1sUEsFBgAAAAAGAAYAWwEA&#10;ALUDAAAAAA==&#10;">
                        <v:fill on="f" focussize="0,0"/>
                        <v:stroke weight="1.25pt" color="#000000" miterlimit="8" joinstyle="miter"/>
                        <v:imagedata o:title=""/>
                        <o:lock v:ext="edit" aspectratio="f"/>
                        <v:textbox>
                          <w:txbxContent>
                            <w:p>
                              <w:pPr>
                                <w:jc w:val="center"/>
                              </w:pPr>
                              <w:r>
                                <w:rPr>
                                  <w:rFonts w:hint="eastAsia"/>
                                </w:rPr>
                                <w:t>定期检查</w:t>
                              </w:r>
                            </w:p>
                          </w:txbxContent>
                        </v:textbox>
                      </v:shape>
                      <v:shape id="Text Box 144" o:spid="_x0000_s1026" o:spt="202" type="#_x0000_t202" style="position:absolute;left:1575;top:10920;height:720;width:1950;" filled="f" stroked="t" coordsize="21600,21600" o:gfxdata="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7H6y8AAAA&#10;3AAAAA8AAAAAAAAAAQAgAAAAIgAAAGRycy9kb3ducmV2LnhtbFBLAQIUABQAAAAIAIdO4kAzLwWe&#10;OwAAADkAAAAQAAAAAAAAAAEAIAAAAAsBAABkcnMvc2hhcGV4bWwueG1sUEsFBgAAAAAGAAYAWwEA&#10;ALUDAAAAAA==&#10;">
                        <v:fill on="f" focussize="0,0"/>
                        <v:stroke weight="1.25pt" color="#000000" miterlimit="8" joinstyle="miter"/>
                        <v:imagedata o:title=""/>
                        <o:lock v:ext="edit" aspectratio="f"/>
                        <v:textbox>
                          <w:txbxContent>
                            <w:p>
                              <w:pPr>
                                <w:jc w:val="center"/>
                              </w:pPr>
                              <w:r>
                                <w:rPr>
                                  <w:rFonts w:hint="eastAsia"/>
                                </w:rPr>
                                <w:t>配合完成定期检查工作</w:t>
                              </w:r>
                            </w:p>
                          </w:txbxContent>
                        </v:textbox>
                      </v:shape>
                      <v:shape id="Text Box 145" o:spid="_x0000_s1026" o:spt="202" type="#_x0000_t202" style="position:absolute;left:4575;top:12000;height:450;width:1950;" filled="f" stroked="t" coordsize="21600,21600" o:gfxdata="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qYHb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w:txbxContent>
                            <w:p>
                              <w:pPr>
                                <w:jc w:val="center"/>
                              </w:pPr>
                              <w:r>
                                <w:rPr>
                                  <w:rFonts w:hint="eastAsia"/>
                                </w:rPr>
                                <w:t>完成检查报告</w:t>
                              </w:r>
                            </w:p>
                          </w:txbxContent>
                        </v:textbox>
                      </v:shape>
                      <v:shape id="AutoShape 146" o:spid="_x0000_s1026" o:spt="4" type="#_x0000_t4" style="position:absolute;left:7350;top:12705;height:855;width:2325;" filled="f" stroked="t" coordsize="21600,21600" o:gfxdata="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ctXX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w:txbxContent>
                            <w:p>
                              <w:pPr>
                                <w:jc w:val="center"/>
                              </w:pPr>
                              <w:r>
                                <w:rPr>
                                  <w:rFonts w:hint="eastAsia"/>
                                </w:rPr>
                                <w:t>审阅检查</w:t>
                              </w:r>
                            </w:p>
                          </w:txbxContent>
                        </v:textbox>
                      </v:shape>
                      <v:shape id="Text Box 147" o:spid="_x0000_s1026" o:spt="202" type="#_x0000_t202" style="position:absolute;left:1575;top:14145;height:750;width:1950;" filled="f" stroked="t" coordsize="21600,21600" o:gfxdata="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wMvDS8AAAA&#10;3AAAAA8AAAAAAAAAAQAgAAAAIgAAAGRycy9kb3ducmV2LnhtbFBLAQIUABQAAAAIAIdO4kAzLwWe&#10;OwAAADkAAAAQAAAAAAAAAAEAIAAAAAsBAABkcnMvc2hhcGV4bWwueG1sUEsFBgAAAAAGAAYAWwEA&#10;ALUDAAAAAA==&#10;">
                        <v:fill on="f" focussize="0,0"/>
                        <v:stroke weight="1.25pt" color="#000000" miterlimit="8" joinstyle="miter"/>
                        <v:imagedata o:title=""/>
                        <o:lock v:ext="edit" aspectratio="f"/>
                        <v:textbox>
                          <w:txbxContent>
                            <w:p>
                              <w:pPr>
                                <w:jc w:val="center"/>
                              </w:pPr>
                              <w:r>
                                <w:rPr>
                                  <w:rFonts w:hint="eastAsia"/>
                                </w:rPr>
                                <w:t>对不合格项进行改进</w:t>
                              </w:r>
                            </w:p>
                          </w:txbxContent>
                        </v:textbox>
                      </v:shape>
                      <v:shape id="AutoShape 148" o:spid="_x0000_s1026" o:spt="32" type="#_x0000_t32" style="position:absolute;left:3495;top:4920;flip:x;height:0;width:1077;" filled="f" stroked="t" coordsize="21600,21600" o:gfxdata="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9km4G8AAAA&#10;3AAAAA8AAAAAAAAAAQAgAAAAIgAAAGRycy9kb3ducmV2LnhtbFBLAQIUABQAAAAIAIdO4kAzLwWe&#10;OwAAADkAAAAQAAAAAAAAAAEAIAAAAAsBAABkcnMvc2hhcGV4bWwueG1sUEsFBgAAAAAGAAYAWwEA&#10;ALUDAAAAAA==&#10;">
                        <v:fill on="f" focussize="0,0"/>
                        <v:stroke weight="1.25pt" color="#000000" joinstyle="round" endarrow="block"/>
                        <v:imagedata o:title=""/>
                        <o:lock v:ext="edit" aspectratio="f"/>
                      </v:shape>
                      <v:shape id="AutoShape 149" o:spid="_x0000_s1026" o:spt="32" type="#_x0000_t32" style="position:absolute;left:2535;top:5295;height:454;width:0;" filled="f" stroked="t" coordsize="21600,21600" o:gfxdata="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yGp1+8AAAA&#10;3AAAAA8AAAAAAAAAAQAgAAAAIgAAAGRycy9kb3ducmV2LnhtbFBLAQIUABQAAAAIAIdO4kAzLwWe&#10;OwAAADkAAAAQAAAAAAAAAAEAIAAAAAsBAABkcnMvc2hhcGV4bWwueG1sUEsFBgAAAAAGAAYAWwEA&#10;ALUDAAAAAA==&#10;">
                        <v:fill on="f" focussize="0,0"/>
                        <v:stroke weight="1.25pt" color="#000000" joinstyle="round" endarrow="block"/>
                        <v:imagedata o:title=""/>
                        <o:lock v:ext="edit" aspectratio="f"/>
                      </v:shape>
                      <v:shape id="AutoShape 150" o:spid="_x0000_s1026" o:spt="32" type="#_x0000_t32" style="position:absolute;left:2535;top:6195;height:510;width:1;" filled="f" stroked="t" coordsize="21600,21600" o:gfxdata="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PKAsS8AAAA&#10;3AAAAA8AAAAAAAAAAQAgAAAAIgAAAGRycy9kb3ducmV2LnhtbFBLAQIUABQAAAAIAIdO4kAzLwWe&#10;OwAAADkAAAAQAAAAAAAAAAEAIAAAAAsBAABkcnMvc2hhcGV4bWwueG1sUEsFBgAAAAAGAAYAWwEA&#10;ALUDAAAAAA==&#10;">
                        <v:fill on="f" focussize="0,0"/>
                        <v:stroke weight="1.25pt" color="#000000" joinstyle="round" endarrow="block"/>
                        <v:imagedata o:title=""/>
                        <o:lock v:ext="edit" aspectratio="f"/>
                      </v:shape>
                      <v:shape id="AutoShape 151" o:spid="_x0000_s1026" o:spt="32" type="#_x0000_t32" style="position:absolute;left:2535;top:7125;height:510;width:1;" filled="f" stroked="t" coordsize="21600,21600" o:gfxdata="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JVlra/&#10;AAAA3AAAAA8AAAAAAAAAAQAgAAAAIgAAAGRycy9kb3ducmV2LnhtbFBLAQIUABQAAAAIAIdO4kAz&#10;LwWeOwAAADkAAAAQAAAAAAAAAAEAIAAAAA4BAABkcnMvc2hhcGV4bWwueG1sUEsFBgAAAAAGAAYA&#10;WwEAALgDAAAAAA==&#10;">
                        <v:fill on="f" focussize="0,0"/>
                        <v:stroke weight="1.25pt" color="#000000" joinstyle="round" endarrow="block"/>
                        <v:imagedata o:title=""/>
                        <o:lock v:ext="edit" aspectratio="f"/>
                      </v:shape>
                      <v:shape id="AutoShape 152" o:spid="_x0000_s1026" o:spt="32" type="#_x0000_t32" style="position:absolute;left:3495;top:7860;height:0;width:840;" filled="f" stroked="t" coordsize="21600,21600" o:gfxdata="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0ZMy28AAAA&#10;3AAAAA8AAAAAAAAAAQAgAAAAIgAAAGRycy9kb3ducmV2LnhtbFBLAQIUABQAAAAIAIdO4kAzLwWe&#10;OwAAADkAAAAQAAAAAAAAAAEAIAAAAAsBAABkcnMvc2hhcGV4bWwueG1sUEsFBgAAAAAGAAYAWwEA&#10;ALUDAAAAAA==&#10;">
                        <v:fill on="f" focussize="0,0"/>
                        <v:stroke weight="1.25pt" color="#000000" joinstyle="round" endarrow="block"/>
                        <v:imagedata o:title=""/>
                        <o:lock v:ext="edit" aspectratio="f"/>
                      </v:shape>
                      <v:shape id="AutoShape 153" o:spid="_x0000_s1026" o:spt="32" type="#_x0000_t32" style="position:absolute;left:5505;top:9615;height:510;width:0;" filled="f" stroked="t" coordsize="21600,21600" o:gfxdata="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JPUA2/&#10;AAAA3AAAAA8AAAAAAAAAAQAgAAAAIgAAAGRycy9kb3ducmV2LnhtbFBLAQIUABQAAAAIAIdO4kAz&#10;LwWeOwAAADkAAAAQAAAAAAAAAAEAIAAAAA4BAABkcnMvc2hhcGV4bWwueG1sUEsFBgAAAAAGAAYA&#10;WwEAALgDAAAAAA==&#10;">
                        <v:fill on="f" focussize="0,0"/>
                        <v:stroke weight="1.25pt" color="#000000" joinstyle="round" endarrow="block"/>
                        <v:imagedata o:title=""/>
                        <o:lock v:ext="edit" aspectratio="f"/>
                      </v:shape>
                      <v:shape id="AutoShape 154" o:spid="_x0000_s1026" o:spt="32" type="#_x0000_t32" style="position:absolute;left:3525;top:11280;flip:x;height:0;width:1035;" filled="f" stroked="t" coordsize="21600,21600" o:gfxdata="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4zVz+8AAAA&#10;3AAAAA8AAAAAAAAAAQAgAAAAIgAAAGRycy9kb3ducmV2LnhtbFBLAQIUABQAAAAIAIdO4kAzLwWe&#10;OwAAADkAAAAQAAAAAAAAAAEAIAAAAAsBAABkcnMvc2hhcGV4bWwueG1sUEsFBgAAAAAGAAYAWwEA&#10;ALUDAAAAAA==&#10;">
                        <v:fill on="f" focussize="0,0"/>
                        <v:stroke weight="1.25pt" color="#000000" joinstyle="round" endarrow="block"/>
                        <v:imagedata o:title=""/>
                        <o:lock v:ext="edit" aspectratio="f"/>
                      </v:shape>
                      <v:shape id="AutoShape 155" o:spid="_x0000_s1026" o:spt="32" type="#_x0000_t32" style="position:absolute;left:5520;top:11490;height:510;width:0;" filled="f" stroked="t" coordsize="21600,21600" o:gfxdata="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Fr4bsAAADc&#10;AAAADwAAAAAAAAABACAAAAAiAAAAZHJzL2Rvd25yZXYueG1sUEsBAhQAFAAAAAgAh07iQDMvBZ47&#10;AAAAOQAAABAAAAAAAAAAAQAgAAAACgEAAGRycy9zaGFwZXhtbC54bWxQSwUGAAAAAAYABgBbAQAA&#10;tAMAAAAA&#10;">
                        <v:fill on="f" focussize="0,0"/>
                        <v:stroke weight="1.25pt" color="#000000" joinstyle="round" endarrow="block"/>
                        <v:imagedata o:title=""/>
                        <o:lock v:ext="edit" aspectratio="f"/>
                      </v:shape>
                      <v:shape id="AutoShape 156" o:spid="_x0000_s1026" o:spt="34" type="#_x0000_t34" style="position:absolute;left:5520;top:12450;height:690;width:1830;" filled="f" stroked="t" coordsize="21600,21600" o:gfxdata="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1nHsy8AAAA&#10;3AAAAA8AAAAAAAAAAQAgAAAAIgAAAGRycy9kb3ducmV2LnhtbFBLAQIUABQAAAAIAIdO4kAzLwWe&#10;OwAAADkAAAAQAAAAAAAAAAEAIAAAAAsBAABkcnMvc2hhcGV4bWwueG1sUEsFBgAAAAAGAAYAWwEA&#10;ALUDAAAAAA==&#10;" adj="0">
                        <v:fill on="f" focussize="0,0"/>
                        <v:stroke weight="1.25pt" color="#000000" miterlimit="8" joinstyle="miter" endarrow="block"/>
                        <v:imagedata o:title=""/>
                        <o:lock v:ext="edit" aspectratio="f"/>
                      </v:shape>
                      <v:shape id="AutoShape 157" o:spid="_x0000_s1026" o:spt="34" type="#_x0000_t34" style="position:absolute;left:3525;top:13560;flip:y;height:960;width:4980;rotation:11796480f;" filled="f" stroked="t" coordsize="21600,21600" o:gfxdata="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xPRVLsAAADc&#10;AAAADwAAAAAAAAABACAAAAAiAAAAZHJzL2Rvd25yZXYueG1sUEsBAhQAFAAAAAgAh07iQDMvBZ47&#10;AAAAOQAAABAAAAAAAAAAAQAgAAAACgEAAGRycy9zaGFwZXhtbC54bWxQSwUGAAAAAAYABgBbAQAA&#10;tAMAAAAA&#10;" adj="-66">
                        <v:fill on="f" focussize="0,0"/>
                        <v:stroke weight="1.25pt" color="#000000" miterlimit="8" joinstyle="miter" endarrow="block"/>
                        <v:imagedata o:title=""/>
                        <o:lock v:ext="edit" aspectratio="f"/>
                      </v:shape>
                      <v:shape id="AutoShape 159" o:spid="_x0000_s1026" o:spt="34" type="#_x0000_t34" style="position:absolute;left:3495;top:6870;height:570;width:2010;rotation:11796480f;" filled="f" stroked="t" coordsize="21600,21600" o:gfxdata="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CsJDugAAANwA&#10;AAAPAAAAAAAAAAEAIAAAACIAAABkcnMvZG93bnJldi54bWxQSwECFAAUAAAACACHTuJAMy8FnjsA&#10;AAA5AAAAEAAAAAAAAAABACAAAAAJAQAAZHJzL3NoYXBleG1sLnhtbFBLBQYAAAAABgAGAFsBAACz&#10;AwAAAAA=&#10;" adj="161">
                        <v:fill on="f" focussize="0,0"/>
                        <v:stroke weight="1.25pt" color="#000000" miterlimit="8" joinstyle="miter" endarrow="block"/>
                        <v:imagedata o:title=""/>
                        <o:lock v:ext="edit" aspectratio="f"/>
                      </v:shape>
                      <v:shape id="Text Box 160" o:spid="_x0000_s1026" o:spt="202" type="#_x0000_t202" style="position:absolute;left:4230;top:6645;height:435;width:450;" fillcolor="#FFFFFF" filled="t" stroked="f" coordsize="21600,21600" o:gfxdata="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v0NUi5AAAA3AAA&#10;AA8AAAAAAAAAAQAgAAAAIgAAAGRycy9kb3ducmV2LnhtbFBLAQIUABQAAAAIAIdO4kAzLwWeOwAA&#10;ADkAAAAQAAAAAAAAAAEAIAAAAAgBAABkcnMvc2hhcGV4bWwueG1sUEsFBgAAAAAGAAYAWwEAALID&#10;AAAAAA==&#10;">
                        <v:fill on="t" focussize="0,0"/>
                        <v:stroke on="f"/>
                        <v:imagedata o:title=""/>
                        <o:lock v:ext="edit" aspectratio="f"/>
                        <v:textbox>
                          <w:txbxContent>
                            <w:p>
                              <w:r>
                                <w:rPr>
                                  <w:rFonts w:hint="eastAsia"/>
                                </w:rPr>
                                <w:t>N</w:t>
                              </w:r>
                            </w:p>
                          </w:txbxContent>
                        </v:textbox>
                      </v:shape>
                      <v:shape id="Text Box 161" o:spid="_x0000_s1026" o:spt="202" type="#_x0000_t202" style="position:absolute;left:5790;top:14280;height:435;width:450;" fillcolor="#FFFFFF" filled="t" stroked="f" coordsize="21600,21600" o:gfxdata="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muhOr4A&#10;AADcAAAADwAAAAAAAAABACAAAAAiAAAAZHJzL2Rvd25yZXYueG1sUEsBAhQAFAAAAAgAh07iQDMv&#10;BZ47AAAAOQAAABAAAAAAAAAAAQAgAAAADQEAAGRycy9zaGFwZXhtbC54bWxQSwUGAAAAAAYABgBb&#10;AQAAtwMAAAAA&#10;">
                        <v:fill on="t" focussize="0,0"/>
                        <v:stroke on="f"/>
                        <v:imagedata o:title=""/>
                        <o:lock v:ext="edit" aspectratio="f"/>
                        <v:textbox>
                          <w:txbxContent>
                            <w:p>
                              <w:r>
                                <w:rPr>
                                  <w:rFonts w:hint="eastAsia"/>
                                </w:rPr>
                                <w:t>N</w:t>
                              </w:r>
                            </w:p>
                          </w:txbxContent>
                        </v:textbox>
                      </v:shape>
                    </v:group>
                  </w:pict>
                </mc:Fallback>
              </mc:AlternateContent>
            </w:r>
          </w:p>
        </w:tc>
        <w:tc>
          <w:tcPr>
            <w:tcW w:w="3174" w:type="dxa"/>
            <w:shd w:val="clear" w:color="auto" w:fill="auto"/>
          </w:tcPr>
          <w:p>
            <w:pPr>
              <w:ind w:firstLine="420" w:firstLineChars="200"/>
            </w:pPr>
            <w:r>
              <mc:AlternateContent>
                <mc:Choice Requires="wps">
                  <w:drawing>
                    <wp:anchor distT="0" distB="0" distL="114300" distR="114300" simplePos="0" relativeHeight="251663360" behindDoc="0" locked="0" layoutInCell="1" allowOverlap="1">
                      <wp:simplePos x="0" y="0"/>
                      <wp:positionH relativeFrom="column">
                        <wp:posOffset>768350</wp:posOffset>
                      </wp:positionH>
                      <wp:positionV relativeFrom="paragraph">
                        <wp:posOffset>2708275</wp:posOffset>
                      </wp:positionV>
                      <wp:extent cx="285750" cy="276225"/>
                      <wp:effectExtent l="0" t="0" r="0" b="9525"/>
                      <wp:wrapNone/>
                      <wp:docPr id="176" name="Text Box 160"/>
                      <wp:cNvGraphicFramePr/>
                      <a:graphic xmlns:a="http://schemas.openxmlformats.org/drawingml/2006/main">
                        <a:graphicData uri="http://schemas.microsoft.com/office/word/2010/wordprocessingShape">
                          <wps:wsp>
                            <wps:cNvSpPr txBox="1">
                              <a:spLocks noChangeArrowheads="1"/>
                            </wps:cNvSpPr>
                            <wps:spPr bwMode="auto">
                              <a:xfrm>
                                <a:off x="0" y="0"/>
                                <a:ext cx="285750" cy="276225"/>
                              </a:xfrm>
                              <a:prstGeom prst="rect">
                                <a:avLst/>
                              </a:prstGeom>
                              <a:solidFill>
                                <a:srgbClr val="FFFFFF"/>
                              </a:solidFill>
                              <a:ln>
                                <a:noFill/>
                              </a:ln>
                            </wps:spPr>
                            <wps:txbx>
                              <w:txbxContent>
                                <w:p>
                                  <w:r>
                                    <w:rPr>
                                      <w:rFonts w:hint="eastAsia"/>
                                    </w:rPr>
                                    <w:t>Y</w:t>
                                  </w:r>
                                </w:p>
                              </w:txbxContent>
                            </wps:txbx>
                            <wps:bodyPr rot="0" vert="horz" wrap="square" lIns="91440" tIns="45720" rIns="91440" bIns="45720" anchor="t" anchorCtr="0" upright="1">
                              <a:noAutofit/>
                            </wps:bodyPr>
                          </wps:wsp>
                        </a:graphicData>
                      </a:graphic>
                    </wp:anchor>
                  </w:drawing>
                </mc:Choice>
                <mc:Fallback>
                  <w:pict>
                    <v:shape id="Text Box 160" o:spid="_x0000_s1026" o:spt="202" type="#_x0000_t202" style="position:absolute;left:0pt;margin-left:60.5pt;margin-top:213.25pt;height:21.75pt;width:22.5pt;z-index:251663360;mso-width-relative:page;mso-height-relative:page;" fillcolor="#FFFFFF" filled="t" stroked="f" coordsize="21600,21600" o:gfxdata="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FrbLtdcAAAAL&#10;AQAADwAAAAAAAAABACAAAAAiAAAAZHJzL2Rvd25yZXYueG1sUEsBAhQAFAAAAAgAh07iQKdL6WMd&#10;AgAAQAQAAA4AAAAAAAAAAQAgAAAAJgEAAGRycy9lMm9Eb2MueG1sUEsFBgAAAAAGAAYAWQEAALUF&#10;AAAAAA==&#10;">
                      <v:fill on="t" focussize="0,0"/>
                      <v:stroke on="f"/>
                      <v:imagedata o:title=""/>
                      <o:lock v:ext="edit" aspectratio="f"/>
                      <v:textbox>
                        <w:txbxContent>
                          <w:p>
                            <w:r>
                              <w:rPr>
                                <w:rFonts w:hint="eastAsia"/>
                              </w:rPr>
                              <w:t>Y</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881380</wp:posOffset>
                      </wp:positionH>
                      <wp:positionV relativeFrom="paragraph">
                        <wp:posOffset>2607310</wp:posOffset>
                      </wp:positionV>
                      <wp:extent cx="635" cy="552450"/>
                      <wp:effectExtent l="76200" t="0" r="75565" b="57150"/>
                      <wp:wrapNone/>
                      <wp:docPr id="175" name="直接箭头连接符 175"/>
                      <wp:cNvGraphicFramePr/>
                      <a:graphic xmlns:a="http://schemas.openxmlformats.org/drawingml/2006/main">
                        <a:graphicData uri="http://schemas.microsoft.com/office/word/2010/wordprocessingShape">
                          <wps:wsp>
                            <wps:cNvCnPr>
                              <a:cxnSpLocks noChangeShapeType="1"/>
                            </wps:cNvCnPr>
                            <wps:spPr bwMode="auto">
                              <a:xfrm>
                                <a:off x="0" y="0"/>
                                <a:ext cx="635" cy="552450"/>
                              </a:xfrm>
                              <a:prstGeom prst="straightConnector1">
                                <a:avLst/>
                              </a:prstGeom>
                              <a:noFill/>
                              <a:ln w="1587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9.4pt;margin-top:205.3pt;height:43.5pt;width:0.05pt;z-index:251662336;mso-width-relative:page;mso-height-relative:page;" filled="f" stroked="t" coordsize="21600,21600" o:gfxdata="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eO082toAAAALAQAADwAAAAAA&#10;AAABACAAAAAiAAAAZHJzL2Rvd25yZXYueG1sUEsBAhQAFAAAAAgAh07iQMCy3EMRAgAA8gMAAA4A&#10;AAAAAAAAAQAgAAAAKQEAAGRycy9lMm9Eb2MueG1sUEsFBgAAAAAGAAYAWQEAAKwFAAAAAA==&#10;">
                      <v:fill on="f" focussize="0,0"/>
                      <v:stroke weight="1.25pt" color="#000000" joinstyle="round" endarrow="block"/>
                      <v:imagedata o:title=""/>
                      <o:lock v:ext="edit" aspectratio="f"/>
                    </v:shape>
                  </w:pict>
                </mc:Fallback>
              </mc:AlternateContent>
            </w:r>
          </w:p>
        </w:tc>
        <w:tc>
          <w:tcPr>
            <w:tcW w:w="2509" w:type="dxa"/>
            <w:shd w:val="clear" w:color="auto" w:fill="auto"/>
          </w:tcPr>
          <w:p>
            <w:pPr>
              <w:ind w:firstLine="420" w:firstLineChars="200"/>
            </w:pPr>
            <w:r>
              <mc:AlternateContent>
                <mc:Choice Requires="wps">
                  <w:drawing>
                    <wp:anchor distT="0" distB="0" distL="114300" distR="114300" simplePos="0" relativeHeight="251661312" behindDoc="0" locked="0" layoutInCell="1" allowOverlap="1">
                      <wp:simplePos x="0" y="0"/>
                      <wp:positionH relativeFrom="column">
                        <wp:posOffset>3780155</wp:posOffset>
                      </wp:positionH>
                      <wp:positionV relativeFrom="paragraph">
                        <wp:posOffset>5064760</wp:posOffset>
                      </wp:positionV>
                      <wp:extent cx="635" cy="552450"/>
                      <wp:effectExtent l="55245" t="16510" r="58420" b="21590"/>
                      <wp:wrapNone/>
                      <wp:docPr id="173" name="直接箭头连接符 173"/>
                      <wp:cNvGraphicFramePr/>
                      <a:graphic xmlns:a="http://schemas.openxmlformats.org/drawingml/2006/main">
                        <a:graphicData uri="http://schemas.microsoft.com/office/word/2010/wordprocessingShape">
                          <wps:wsp>
                            <wps:cNvCnPr>
                              <a:cxnSpLocks noChangeShapeType="1"/>
                            </wps:cNvCnPr>
                            <wps:spPr bwMode="auto">
                              <a:xfrm>
                                <a:off x="0" y="0"/>
                                <a:ext cx="635" cy="552450"/>
                              </a:xfrm>
                              <a:prstGeom prst="straightConnector1">
                                <a:avLst/>
                              </a:prstGeom>
                              <a:noFill/>
                              <a:ln w="1587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97.65pt;margin-top:398.8pt;height:43.5pt;width:0.05pt;z-index:251661312;mso-width-relative:page;mso-height-relative:page;" filled="f" stroked="t" coordsize="21600,21600" o:gfxdata="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o2ye/twAAAALAQAA&#10;DwAAAAAAAAABACAAAAAiAAAAZHJzL2Rvd25yZXYueG1sUEsBAhQAFAAAAAgAh07iQEgoyD4VAgAA&#10;8gMAAA4AAAAAAAAAAQAgAAAAKwEAAGRycy9lMm9Eb2MueG1sUEsFBgAAAAAGAAYAWQEAALIFAAAA&#10;AA==&#10;">
                      <v:fill on="f" focussize="0,0"/>
                      <v:stroke weight="1.25pt" color="#000000" joinstyle="round" endarrow="block"/>
                      <v:imagedata o:title=""/>
                      <o:lock v:ext="edit" aspectratio="f"/>
                    </v:shape>
                  </w:pict>
                </mc:Fallback>
              </mc:AlternateContent>
            </w:r>
          </w:p>
        </w:tc>
      </w:tr>
    </w:tbl>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6.工作程序细则</w:t>
      </w:r>
    </w:p>
    <w:p>
      <w:pPr>
        <w:spacing w:line="360" w:lineRule="auto"/>
        <w:ind w:firstLine="480" w:firstLineChars="200"/>
        <w:rPr>
          <w:sz w:val="24"/>
          <w:szCs w:val="24"/>
        </w:rPr>
      </w:pPr>
      <w:r>
        <w:rPr>
          <w:rFonts w:hint="eastAsia"/>
          <w:sz w:val="24"/>
          <w:szCs w:val="24"/>
        </w:rPr>
        <w:t>6.1 文档编号</w:t>
      </w:r>
    </w:p>
    <w:p>
      <w:pPr>
        <w:spacing w:line="360" w:lineRule="auto"/>
        <w:ind w:firstLine="480" w:firstLineChars="200"/>
        <w:rPr>
          <w:sz w:val="24"/>
          <w:szCs w:val="24"/>
        </w:rPr>
      </w:pPr>
      <w:r>
        <w:rPr>
          <w:rFonts w:hint="eastAsia"/>
          <w:sz w:val="24"/>
          <w:szCs w:val="24"/>
        </w:rPr>
        <w:t>6.1.1 核心文本档案需编号保存；</w:t>
      </w:r>
    </w:p>
    <w:p>
      <w:pPr>
        <w:spacing w:line="360" w:lineRule="auto"/>
        <w:ind w:firstLine="480" w:firstLineChars="200"/>
        <w:rPr>
          <w:sz w:val="24"/>
          <w:szCs w:val="24"/>
        </w:rPr>
      </w:pPr>
      <w:r>
        <w:rPr>
          <w:rFonts w:hint="eastAsia"/>
          <w:sz w:val="24"/>
          <w:szCs w:val="24"/>
        </w:rPr>
        <w:t>6.1.2 每个项目在正式立项时均需去综合管理部领取立项编号，编号规则为：立项年份——立项顺序号。项目立项编号需标志在所有项目文档之上，包括项目审批文件、合作伙伴信息登记表、立项报告、合作协议、项目成果等相关文件；</w:t>
      </w:r>
    </w:p>
    <w:p>
      <w:pPr>
        <w:spacing w:line="360" w:lineRule="auto"/>
        <w:ind w:firstLine="480" w:firstLineChars="200"/>
        <w:rPr>
          <w:sz w:val="24"/>
          <w:szCs w:val="24"/>
        </w:rPr>
      </w:pPr>
      <w:r>
        <w:rPr>
          <w:rFonts w:hint="eastAsia"/>
          <w:sz w:val="24"/>
          <w:szCs w:val="24"/>
        </w:rPr>
        <w:t>6.1.3 基金会所签署协议分为两类：项目管理协议与机构管理协议；</w:t>
      </w:r>
    </w:p>
    <w:p>
      <w:pPr>
        <w:spacing w:line="360" w:lineRule="auto"/>
        <w:ind w:firstLine="480" w:firstLineChars="200"/>
        <w:rPr>
          <w:sz w:val="24"/>
          <w:szCs w:val="24"/>
        </w:rPr>
      </w:pPr>
      <w:r>
        <w:rPr>
          <w:rFonts w:hint="eastAsia"/>
          <w:sz w:val="24"/>
          <w:szCs w:val="24"/>
        </w:rPr>
        <w:t>6.1.4 基金会所有签署协议均需在《协议签署登记表》上登记呈现。</w:t>
      </w:r>
    </w:p>
    <w:p>
      <w:pPr>
        <w:spacing w:line="360" w:lineRule="auto"/>
        <w:ind w:firstLine="480" w:firstLineChars="200"/>
        <w:rPr>
          <w:sz w:val="24"/>
          <w:szCs w:val="24"/>
        </w:rPr>
      </w:pPr>
      <w:r>
        <w:rPr>
          <w:rFonts w:hint="eastAsia"/>
          <w:sz w:val="24"/>
          <w:szCs w:val="24"/>
        </w:rPr>
        <w:t>6.2一般文本档案资料的收集与管理</w:t>
      </w:r>
    </w:p>
    <w:p>
      <w:pPr>
        <w:spacing w:line="360" w:lineRule="auto"/>
        <w:ind w:firstLine="480" w:firstLineChars="200"/>
        <w:rPr>
          <w:sz w:val="24"/>
          <w:szCs w:val="24"/>
        </w:rPr>
      </w:pPr>
      <w:r>
        <w:rPr>
          <w:rFonts w:hint="eastAsia"/>
          <w:sz w:val="24"/>
          <w:szCs w:val="24"/>
        </w:rPr>
        <w:t>6.2.1一般文本档案资料，包括以下几个方面：</w:t>
      </w:r>
    </w:p>
    <w:p>
      <w:pPr>
        <w:spacing w:line="360" w:lineRule="auto"/>
        <w:ind w:firstLine="480" w:firstLineChars="200"/>
        <w:rPr>
          <w:sz w:val="24"/>
          <w:szCs w:val="24"/>
        </w:rPr>
      </w:pPr>
      <w:r>
        <w:rPr>
          <w:rFonts w:hint="eastAsia"/>
          <w:sz w:val="24"/>
          <w:szCs w:val="24"/>
        </w:rPr>
        <w:t>（1）与合作机构接洽过程中获得的简介、宣传册等；</w:t>
      </w:r>
    </w:p>
    <w:p>
      <w:pPr>
        <w:spacing w:line="360" w:lineRule="auto"/>
        <w:ind w:firstLine="480" w:firstLineChars="200"/>
        <w:rPr>
          <w:sz w:val="24"/>
          <w:szCs w:val="24"/>
        </w:rPr>
      </w:pPr>
      <w:r>
        <w:rPr>
          <w:rFonts w:hint="eastAsia"/>
          <w:sz w:val="24"/>
          <w:szCs w:val="24"/>
        </w:rPr>
        <w:t>（2）外出访谈或参与会议时获得的相关资料；</w:t>
      </w:r>
    </w:p>
    <w:p>
      <w:pPr>
        <w:spacing w:line="360" w:lineRule="auto"/>
        <w:ind w:firstLine="480" w:firstLineChars="200"/>
        <w:rPr>
          <w:sz w:val="24"/>
          <w:szCs w:val="24"/>
        </w:rPr>
      </w:pPr>
      <w:r>
        <w:rPr>
          <w:rFonts w:hint="eastAsia"/>
          <w:sz w:val="24"/>
          <w:szCs w:val="24"/>
        </w:rPr>
        <w:t>（3）其他经核定为一般文本档案资料的文件。</w:t>
      </w:r>
    </w:p>
    <w:p>
      <w:pPr>
        <w:spacing w:line="360" w:lineRule="auto"/>
        <w:ind w:firstLine="480" w:firstLineChars="200"/>
        <w:rPr>
          <w:sz w:val="24"/>
          <w:szCs w:val="24"/>
        </w:rPr>
      </w:pPr>
      <w:r>
        <w:rPr>
          <w:rFonts w:hint="eastAsia"/>
          <w:sz w:val="24"/>
          <w:szCs w:val="24"/>
        </w:rPr>
        <w:t>6.2.2 一般文本档案资料以文件盒的形式贮存，并以机构/会议为分类标准。不同文件盒封面需附上相关机构/会议名称，若相关机构/会议资料过少，则列为“其他”）。</w:t>
      </w:r>
    </w:p>
    <w:p>
      <w:pPr>
        <w:spacing w:line="360" w:lineRule="auto"/>
        <w:ind w:firstLine="480" w:firstLineChars="200"/>
        <w:rPr>
          <w:sz w:val="24"/>
          <w:szCs w:val="24"/>
        </w:rPr>
      </w:pPr>
      <w:r>
        <w:rPr>
          <w:rFonts w:hint="eastAsia"/>
          <w:sz w:val="24"/>
          <w:szCs w:val="24"/>
        </w:rPr>
        <w:t>6.2.3 每一文件盒首页附上《一般文本档案管理目录》，并在每一文件上张贴标签，标签上注明该文件的序号，序号需与目录一致。文件需按序号顺序码放，不得乱序。</w:t>
      </w:r>
    </w:p>
    <w:p>
      <w:pPr>
        <w:spacing w:line="360" w:lineRule="auto"/>
        <w:ind w:firstLine="480" w:firstLineChars="200"/>
        <w:rPr>
          <w:sz w:val="24"/>
          <w:szCs w:val="24"/>
        </w:rPr>
      </w:pPr>
      <w:r>
        <w:rPr>
          <w:rFonts w:hint="eastAsia"/>
          <w:sz w:val="24"/>
          <w:szCs w:val="24"/>
        </w:rPr>
        <w:t>6.2.4 《一般文本档案管理目录》需保存电子版，并随时进行更新；纸质版每月更新一次。</w:t>
      </w:r>
    </w:p>
    <w:p>
      <w:pPr>
        <w:spacing w:line="360" w:lineRule="auto"/>
        <w:ind w:firstLine="480" w:firstLineChars="200"/>
        <w:rPr>
          <w:sz w:val="24"/>
          <w:szCs w:val="24"/>
        </w:rPr>
      </w:pPr>
      <w:r>
        <w:rPr>
          <w:rFonts w:hint="eastAsia"/>
          <w:sz w:val="24"/>
          <w:szCs w:val="24"/>
        </w:rPr>
        <w:t>6.2.5各部门档案管理人员负责对本部门日常工作中形成的文本文件资料进行收集，并编制部门《一般文本档案管理目录》。</w:t>
      </w:r>
    </w:p>
    <w:p>
      <w:pPr>
        <w:spacing w:line="360" w:lineRule="auto"/>
        <w:ind w:firstLine="480" w:firstLineChars="200"/>
        <w:rPr>
          <w:sz w:val="24"/>
          <w:szCs w:val="24"/>
        </w:rPr>
      </w:pPr>
      <w:r>
        <w:rPr>
          <w:rFonts w:hint="eastAsia"/>
          <w:sz w:val="24"/>
          <w:szCs w:val="24"/>
        </w:rPr>
        <w:t>6.2.6 各部门不定期向行政部门相关人员移交各部门的《一般文本档案管理目录》，由行政部门相关人员负责统一记录，编制《一般文本档案管理总目录》。</w:t>
      </w:r>
    </w:p>
    <w:p>
      <w:pPr>
        <w:spacing w:line="360" w:lineRule="auto"/>
        <w:ind w:firstLine="480" w:firstLineChars="200"/>
        <w:rPr>
          <w:sz w:val="24"/>
          <w:szCs w:val="24"/>
        </w:rPr>
      </w:pPr>
      <w:r>
        <w:rPr>
          <w:rFonts w:hint="eastAsia"/>
          <w:sz w:val="24"/>
          <w:szCs w:val="24"/>
        </w:rPr>
        <w:t>6.3核心文本档案资料的收集与管理</w:t>
      </w:r>
    </w:p>
    <w:p>
      <w:pPr>
        <w:spacing w:line="360" w:lineRule="auto"/>
        <w:ind w:firstLine="480" w:firstLineChars="200"/>
        <w:rPr>
          <w:sz w:val="24"/>
          <w:szCs w:val="24"/>
        </w:rPr>
      </w:pPr>
      <w:r>
        <w:rPr>
          <w:rFonts w:hint="eastAsia"/>
          <w:sz w:val="24"/>
          <w:szCs w:val="24"/>
        </w:rPr>
        <w:t>6.3.1核心文本档案资料，包括以下几个方面：</w:t>
      </w:r>
    </w:p>
    <w:p>
      <w:pPr>
        <w:spacing w:line="360" w:lineRule="auto"/>
        <w:ind w:firstLine="480" w:firstLineChars="200"/>
        <w:rPr>
          <w:sz w:val="24"/>
          <w:szCs w:val="24"/>
        </w:rPr>
      </w:pPr>
      <w:r>
        <w:rPr>
          <w:rFonts w:hint="eastAsia"/>
          <w:sz w:val="24"/>
          <w:szCs w:val="24"/>
        </w:rPr>
        <w:t>（1）项目审批文件、立项报告、合作协议、项目成果等相关文件；</w:t>
      </w:r>
    </w:p>
    <w:p>
      <w:pPr>
        <w:spacing w:line="360" w:lineRule="auto"/>
        <w:ind w:firstLine="480" w:firstLineChars="200"/>
        <w:rPr>
          <w:sz w:val="24"/>
          <w:szCs w:val="24"/>
        </w:rPr>
      </w:pPr>
      <w:r>
        <w:rPr>
          <w:rFonts w:hint="eastAsia"/>
          <w:sz w:val="24"/>
          <w:szCs w:val="24"/>
        </w:rPr>
        <w:t>（2）基金会注册登记证书、相关资质证明、理事会相关资料及会议资料、各项管理规章制度、年度工作报告、审计报告、拨款及支出单据、财务报告、年度工作报告等；</w:t>
      </w:r>
    </w:p>
    <w:p>
      <w:pPr>
        <w:spacing w:line="360" w:lineRule="auto"/>
        <w:ind w:firstLine="480" w:firstLineChars="200"/>
        <w:rPr>
          <w:sz w:val="24"/>
          <w:szCs w:val="24"/>
        </w:rPr>
      </w:pPr>
      <w:r>
        <w:rPr>
          <w:rFonts w:hint="eastAsia"/>
          <w:sz w:val="24"/>
          <w:szCs w:val="24"/>
        </w:rPr>
        <w:t>（3）基金会内部正式员工、兼职员工、实习生、志愿者的相关简历及合同等人事资料；</w:t>
      </w:r>
    </w:p>
    <w:p>
      <w:pPr>
        <w:spacing w:line="360" w:lineRule="auto"/>
        <w:ind w:firstLine="480" w:firstLineChars="200"/>
        <w:rPr>
          <w:sz w:val="24"/>
          <w:szCs w:val="24"/>
        </w:rPr>
      </w:pPr>
      <w:r>
        <w:rPr>
          <w:rFonts w:hint="eastAsia"/>
          <w:sz w:val="24"/>
          <w:szCs w:val="24"/>
        </w:rPr>
        <w:t>（4）其他经核定为核心文本档案资料的文件。</w:t>
      </w:r>
    </w:p>
    <w:p>
      <w:pPr>
        <w:spacing w:line="360" w:lineRule="auto"/>
        <w:ind w:firstLine="480" w:firstLineChars="200"/>
        <w:rPr>
          <w:sz w:val="24"/>
          <w:szCs w:val="24"/>
        </w:rPr>
      </w:pPr>
      <w:r>
        <w:rPr>
          <w:rFonts w:hint="eastAsia"/>
          <w:sz w:val="24"/>
          <w:szCs w:val="24"/>
        </w:rPr>
        <w:t>6.3.2 核心文本档案资料以分页资料册的形式贮存。每一资料册封面按内容附上相关名称；若无法定义名称，则以序号命名。</w:t>
      </w:r>
    </w:p>
    <w:p>
      <w:pPr>
        <w:spacing w:line="360" w:lineRule="auto"/>
        <w:ind w:firstLine="480" w:firstLineChars="200"/>
        <w:rPr>
          <w:sz w:val="24"/>
          <w:szCs w:val="24"/>
        </w:rPr>
      </w:pPr>
      <w:r>
        <w:rPr>
          <w:rFonts w:hint="eastAsia"/>
          <w:sz w:val="24"/>
          <w:szCs w:val="24"/>
        </w:rPr>
        <w:t>6.3.3 每一资料册首页附上《核心文本档案管理目录》，并在每一文件上张贴标签，标签上注明该文件的序号，序号需与目录一致。文件按序号顺序码放，不得乱序。</w:t>
      </w:r>
    </w:p>
    <w:p>
      <w:pPr>
        <w:spacing w:line="360" w:lineRule="auto"/>
        <w:ind w:firstLine="480" w:firstLineChars="200"/>
        <w:rPr>
          <w:sz w:val="24"/>
          <w:szCs w:val="24"/>
        </w:rPr>
      </w:pPr>
      <w:r>
        <w:rPr>
          <w:rFonts w:hint="eastAsia"/>
          <w:sz w:val="24"/>
          <w:szCs w:val="24"/>
        </w:rPr>
        <w:t>6.3.4 《核心文本档案管理目录》需保存电子版，并随时进行更新；纸质版每月更新一次。</w:t>
      </w:r>
    </w:p>
    <w:p>
      <w:pPr>
        <w:spacing w:line="360" w:lineRule="auto"/>
        <w:ind w:firstLine="480" w:firstLineChars="200"/>
        <w:rPr>
          <w:sz w:val="24"/>
          <w:szCs w:val="24"/>
        </w:rPr>
      </w:pPr>
      <w:r>
        <w:rPr>
          <w:rFonts w:hint="eastAsia"/>
          <w:sz w:val="24"/>
          <w:szCs w:val="24"/>
        </w:rPr>
        <w:t>6.3.5各部门档案管理人员负责对本部门日常工作中形成的文本文件资料进行收集，编制部门《核心文本档案管理目录》。并不定期向行政部门相关人员移交部门《核心文本档案管理目录》，由行政部门相关人员负责统一记录，编制《核心文本档案管理总目录》。</w:t>
      </w:r>
    </w:p>
    <w:p>
      <w:pPr>
        <w:spacing w:line="360" w:lineRule="auto"/>
        <w:ind w:firstLine="480" w:firstLineChars="200"/>
        <w:rPr>
          <w:sz w:val="24"/>
          <w:szCs w:val="24"/>
        </w:rPr>
      </w:pPr>
      <w:r>
        <w:rPr>
          <w:rFonts w:hint="eastAsia"/>
          <w:sz w:val="24"/>
          <w:szCs w:val="24"/>
        </w:rPr>
        <w:t>6.3.6在电子文件内容有更新时，需在文件及文件夹后标明更新日期，如（2019.1.1）。</w:t>
      </w:r>
    </w:p>
    <w:p>
      <w:pPr>
        <w:spacing w:line="360" w:lineRule="auto"/>
        <w:ind w:firstLine="480" w:firstLineChars="200"/>
        <w:rPr>
          <w:sz w:val="24"/>
          <w:szCs w:val="24"/>
        </w:rPr>
      </w:pPr>
      <w:r>
        <w:rPr>
          <w:rFonts w:hint="eastAsia"/>
          <w:sz w:val="24"/>
          <w:szCs w:val="24"/>
        </w:rPr>
        <w:t>6.3.7核心文件原件由基金会保留 ，各部门若有需要请自行复印保留复印件。</w:t>
      </w:r>
    </w:p>
    <w:p>
      <w:pPr>
        <w:spacing w:line="500" w:lineRule="atLeast"/>
        <w:ind w:firstLine="480" w:firstLineChars="200"/>
        <w:rPr>
          <w:rFonts w:ascii="宋体" w:hAnsi="宋体" w:cs="宋体"/>
          <w:sz w:val="24"/>
        </w:rPr>
      </w:pPr>
      <w:r>
        <w:rPr>
          <w:rFonts w:hint="eastAsia" w:ascii="宋体" w:hAnsi="宋体" w:cs="宋体"/>
          <w:sz w:val="24"/>
        </w:rPr>
        <mc:AlternateContent>
          <mc:Choice Requires="wps">
            <w:drawing>
              <wp:anchor distT="0" distB="0" distL="114300" distR="114300" simplePos="0" relativeHeight="251665408" behindDoc="0" locked="0" layoutInCell="1" allowOverlap="1">
                <wp:simplePos x="0" y="0"/>
                <wp:positionH relativeFrom="column">
                  <wp:posOffset>-38100</wp:posOffset>
                </wp:positionH>
                <wp:positionV relativeFrom="paragraph">
                  <wp:posOffset>35560</wp:posOffset>
                </wp:positionV>
                <wp:extent cx="5353050" cy="899160"/>
                <wp:effectExtent l="0" t="0" r="19050" b="15240"/>
                <wp:wrapNone/>
                <wp:docPr id="187" name="矩形 187"/>
                <wp:cNvGraphicFramePr/>
                <a:graphic xmlns:a="http://schemas.openxmlformats.org/drawingml/2006/main">
                  <a:graphicData uri="http://schemas.microsoft.com/office/word/2010/wordprocessingShape">
                    <wps:wsp>
                      <wps:cNvSpPr>
                        <a:spLocks noChangeArrowheads="1"/>
                      </wps:cNvSpPr>
                      <wps:spPr bwMode="auto">
                        <a:xfrm>
                          <a:off x="0" y="0"/>
                          <a:ext cx="5353050" cy="899160"/>
                        </a:xfrm>
                        <a:prstGeom prst="rect">
                          <a:avLst/>
                        </a:prstGeom>
                        <a:noFill/>
                        <a:ln w="1587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pt;margin-top:2.8pt;height:70.8pt;width:421.5pt;z-index:251665408;mso-width-relative:page;mso-height-relative:page;" filled="f" stroked="t" coordsize="21600,21600" o:gfxdata="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J6bW41wAAAAgBAAAPAAAAAAAAAAEAIAAAACIAAABkcnMvZG93bnJldi54bWxQ&#10;SwECFAAUAAAACACHTuJADgRU9DECAABLBAAADgAAAAAAAAABACAAAAAmAQAAZHJzL2Uyb0RvYy54&#10;bWxQSwUGAAAAAAYABgBZAQAAyQUAAAAA&#10;">
                <v:fill on="f" focussize="0,0"/>
                <v:stroke weight="1.25pt" color="#000000" miterlimit="8" joinstyle="miter"/>
                <v:imagedata o:title=""/>
                <o:lock v:ext="edit" aspectratio="f"/>
              </v:rect>
            </w:pict>
          </mc:Fallback>
        </mc:AlternateContent>
      </w:r>
      <w:r>
        <w:rPr>
          <w:rFonts w:hint="eastAsia" w:ascii="宋体" w:hAnsi="宋体" w:cs="宋体"/>
          <w:sz w:val="24"/>
        </w:rPr>
        <mc:AlternateContent>
          <mc:Choice Requires="wpg">
            <w:drawing>
              <wp:anchor distT="0" distB="0" distL="114300" distR="114300" simplePos="0" relativeHeight="251664384" behindDoc="0" locked="0" layoutInCell="1" allowOverlap="1">
                <wp:simplePos x="0" y="0"/>
                <wp:positionH relativeFrom="column">
                  <wp:posOffset>129540</wp:posOffset>
                </wp:positionH>
                <wp:positionV relativeFrom="paragraph">
                  <wp:posOffset>88900</wp:posOffset>
                </wp:positionV>
                <wp:extent cx="5036820" cy="754380"/>
                <wp:effectExtent l="0" t="0" r="11430" b="26670"/>
                <wp:wrapNone/>
                <wp:docPr id="183" name="组合 183"/>
                <wp:cNvGraphicFramePr/>
                <a:graphic xmlns:a="http://schemas.openxmlformats.org/drawingml/2006/main">
                  <a:graphicData uri="http://schemas.microsoft.com/office/word/2010/wordprocessingGroup">
                    <wpg:wgp>
                      <wpg:cNvGrpSpPr/>
                      <wpg:grpSpPr>
                        <a:xfrm>
                          <a:off x="0" y="0"/>
                          <a:ext cx="5036820" cy="754380"/>
                          <a:chOff x="1193" y="8670"/>
                          <a:chExt cx="9358" cy="2130"/>
                        </a:xfrm>
                      </wpg:grpSpPr>
                      <wps:wsp>
                        <wps:cNvPr id="184" name="Text Box 173"/>
                        <wps:cNvSpPr txBox="1">
                          <a:spLocks noChangeArrowheads="1"/>
                        </wps:cNvSpPr>
                        <wps:spPr bwMode="auto">
                          <a:xfrm>
                            <a:off x="1193" y="8670"/>
                            <a:ext cx="2955" cy="2130"/>
                          </a:xfrm>
                          <a:prstGeom prst="rect">
                            <a:avLst/>
                          </a:prstGeom>
                          <a:noFill/>
                          <a:ln w="15875">
                            <a:solidFill>
                              <a:srgbClr val="000000"/>
                            </a:solidFill>
                            <a:miter lim="800000"/>
                          </a:ln>
                        </wps:spPr>
                        <wps:txbx>
                          <w:txbxContent>
                            <w:p>
                              <w:pPr>
                                <w:rPr>
                                  <w:szCs w:val="21"/>
                                </w:rPr>
                              </w:pPr>
                            </w:p>
                            <w:p>
                              <w:pPr>
                                <w:rPr>
                                  <w:b/>
                                  <w:szCs w:val="21"/>
                                </w:rPr>
                              </w:pPr>
                              <w:r>
                                <w:rPr>
                                  <w:rFonts w:hint="eastAsia"/>
                                  <w:b/>
                                  <w:szCs w:val="21"/>
                                </w:rPr>
                                <w:t>（一）一般/核心文本档案管理目录</w:t>
                              </w:r>
                            </w:p>
                          </w:txbxContent>
                        </wps:txbx>
                        <wps:bodyPr rot="0" vert="horz" wrap="square" lIns="91440" tIns="45720" rIns="91440" bIns="45720" anchor="t" anchorCtr="0" upright="1">
                          <a:noAutofit/>
                        </wps:bodyPr>
                      </wps:wsp>
                      <wps:wsp>
                        <wps:cNvPr id="185" name="Text Box 174"/>
                        <wps:cNvSpPr txBox="1">
                          <a:spLocks noChangeArrowheads="1"/>
                        </wps:cNvSpPr>
                        <wps:spPr bwMode="auto">
                          <a:xfrm>
                            <a:off x="4425" y="8671"/>
                            <a:ext cx="2955" cy="2129"/>
                          </a:xfrm>
                          <a:prstGeom prst="rect">
                            <a:avLst/>
                          </a:prstGeom>
                          <a:noFill/>
                          <a:ln w="15875">
                            <a:solidFill>
                              <a:srgbClr val="000000"/>
                            </a:solidFill>
                            <a:miter lim="800000"/>
                          </a:ln>
                        </wps:spPr>
                        <wps:txbx>
                          <w:txbxContent>
                            <w:p/>
                            <w:p>
                              <w:pPr>
                                <w:rPr>
                                  <w:b/>
                                </w:rPr>
                              </w:pPr>
                              <w:r>
                                <w:rPr>
                                  <w:rFonts w:hint="eastAsia"/>
                                  <w:b/>
                                </w:rPr>
                                <w:t>（二）档案借阅登记表</w:t>
                              </w:r>
                            </w:p>
                          </w:txbxContent>
                        </wps:txbx>
                        <wps:bodyPr rot="0" vert="horz" wrap="square" lIns="91440" tIns="45720" rIns="91440" bIns="45720" anchor="t" anchorCtr="0" upright="1">
                          <a:noAutofit/>
                        </wps:bodyPr>
                      </wps:wsp>
                      <wps:wsp>
                        <wps:cNvPr id="186" name="Text Box 175"/>
                        <wps:cNvSpPr txBox="1">
                          <a:spLocks noChangeArrowheads="1"/>
                        </wps:cNvSpPr>
                        <wps:spPr bwMode="auto">
                          <a:xfrm>
                            <a:off x="7596" y="8670"/>
                            <a:ext cx="2955" cy="2130"/>
                          </a:xfrm>
                          <a:prstGeom prst="rect">
                            <a:avLst/>
                          </a:prstGeom>
                          <a:noFill/>
                          <a:ln w="15875">
                            <a:solidFill>
                              <a:srgbClr val="000000"/>
                            </a:solidFill>
                            <a:miter lim="800000"/>
                          </a:ln>
                          <a:effectLst/>
                        </wps:spPr>
                        <wps:txbx>
                          <w:txbxContent>
                            <w:p/>
                            <w:p>
                              <w:pPr>
                                <w:rPr>
                                  <w:b/>
                                </w:rPr>
                              </w:pPr>
                              <w:r>
                                <w:rPr>
                                  <w:rFonts w:hint="eastAsia"/>
                                  <w:b/>
                                </w:rPr>
                                <w:t>（三）档案资料文本</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0.2pt;margin-top:7pt;height:59.4pt;width:396.6pt;z-index:251664384;mso-width-relative:page;mso-height-relative:page;" coordorigin="1193,8670" coordsize="9358,2130" o:gfxdata="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NrVOktgA&#10;AAAJAQAADwAAAAAAAAABACAAAAAiAAAAZHJzL2Rvd25yZXYueG1sUEsBAhQAFAAAAAgAh07iQEwh&#10;JocDAwAArwoAAA4AAAAAAAAAAQAgAAAAJwEAAGRycy9lMm9Eb2MueG1sUEsFBgAAAAAGAAYAWQEA&#10;AJwGAAAAAA==&#10;">
                <o:lock v:ext="edit" aspectratio="f"/>
                <v:shape id="Text Box 173" o:spid="_x0000_s1026" o:spt="202" type="#_x0000_t202" style="position:absolute;left:1193;top:8670;height:2130;width:2955;" filled="f" stroked="t" coordsize="21600,21600" o:gfxdata="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bJBz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w:txbxContent>
                      <w:p>
                        <w:pPr>
                          <w:rPr>
                            <w:szCs w:val="21"/>
                          </w:rPr>
                        </w:pPr>
                      </w:p>
                      <w:p>
                        <w:pPr>
                          <w:rPr>
                            <w:b/>
                            <w:szCs w:val="21"/>
                          </w:rPr>
                        </w:pPr>
                        <w:r>
                          <w:rPr>
                            <w:rFonts w:hint="eastAsia"/>
                            <w:b/>
                            <w:szCs w:val="21"/>
                          </w:rPr>
                          <w:t>（一）一般/核心文本档案管理目录</w:t>
                        </w:r>
                      </w:p>
                    </w:txbxContent>
                  </v:textbox>
                </v:shape>
                <v:shape id="Text Box 174" o:spid="_x0000_s1026" o:spt="202" type="#_x0000_t202" style="position:absolute;left:4425;top:8671;height:2129;width:2955;" filled="f" stroked="t" coordsize="21600,21600" o:gfxdata="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IDXo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w:txbxContent>
                      <w:p/>
                      <w:p>
                        <w:pPr>
                          <w:rPr>
                            <w:b/>
                          </w:rPr>
                        </w:pPr>
                        <w:r>
                          <w:rPr>
                            <w:rFonts w:hint="eastAsia"/>
                            <w:b/>
                          </w:rPr>
                          <w:t>（二）档案借阅登记表</w:t>
                        </w:r>
                      </w:p>
                    </w:txbxContent>
                  </v:textbox>
                </v:shape>
                <v:shape id="Text Box 175" o:spid="_x0000_s1026" o:spt="202" type="#_x0000_t202" style="position:absolute;left:7596;top:8670;height:2130;width:2955;" filled="f" stroked="t" coordsize="21600,21600" o:gfxdata="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3yq5+8AAAA&#10;3AAAAA8AAAAAAAAAAQAgAAAAIgAAAGRycy9kb3ducmV2LnhtbFBLAQIUABQAAAAIAIdO4kAzLwWe&#10;OwAAADkAAAAQAAAAAAAAAAEAIAAAAAsBAABkcnMvc2hhcGV4bWwueG1sUEsFBgAAAAAGAAYAWwEA&#10;ALUDAAAAAA==&#10;">
                  <v:fill on="f" focussize="0,0"/>
                  <v:stroke weight="1.25pt" color="#000000" miterlimit="8" joinstyle="miter"/>
                  <v:imagedata o:title=""/>
                  <o:lock v:ext="edit" aspectratio="f"/>
                  <v:textbox>
                    <w:txbxContent>
                      <w:p/>
                      <w:p>
                        <w:pPr>
                          <w:rPr>
                            <w:b/>
                          </w:rPr>
                        </w:pPr>
                        <w:r>
                          <w:rPr>
                            <w:rFonts w:hint="eastAsia"/>
                            <w:b/>
                          </w:rPr>
                          <w:t>（三）档案资料文本</w:t>
                        </w:r>
                      </w:p>
                    </w:txbxContent>
                  </v:textbox>
                </v:shape>
              </v:group>
            </w:pict>
          </mc:Fallback>
        </mc:AlternateContent>
      </w:r>
    </w:p>
    <w:p>
      <w:pPr>
        <w:spacing w:line="500" w:lineRule="atLeast"/>
        <w:ind w:firstLine="480" w:firstLineChars="200"/>
        <w:rPr>
          <w:rFonts w:ascii="宋体" w:hAnsi="宋体" w:cs="宋体"/>
          <w:sz w:val="24"/>
        </w:rPr>
      </w:pPr>
    </w:p>
    <w:p>
      <w:pPr>
        <w:spacing w:line="500" w:lineRule="atLeast"/>
        <w:ind w:firstLine="480" w:firstLineChars="200"/>
        <w:rPr>
          <w:rFonts w:ascii="宋体" w:hAnsi="宋体" w:cs="宋体"/>
          <w:sz w:val="24"/>
        </w:rPr>
      </w:pPr>
    </w:p>
    <w:p>
      <w:pPr>
        <w:spacing w:line="360" w:lineRule="auto"/>
        <w:ind w:firstLine="960" w:firstLineChars="400"/>
        <w:rPr>
          <w:rFonts w:ascii="宋体" w:hAnsi="宋体" w:cs="宋体"/>
          <w:sz w:val="24"/>
          <w:szCs w:val="24"/>
        </w:rPr>
      </w:pPr>
      <w:r>
        <w:rPr>
          <w:rFonts w:hint="eastAsia"/>
          <w:sz w:val="24"/>
          <w:szCs w:val="24"/>
        </w:rPr>
        <w:t>图一：文本档案管理文件盒/资料册码放顺序示意图</w:t>
      </w:r>
    </w:p>
    <w:p>
      <w:pPr>
        <w:spacing w:line="360" w:lineRule="auto"/>
        <w:ind w:firstLine="480" w:firstLineChars="200"/>
        <w:rPr>
          <w:sz w:val="24"/>
          <w:szCs w:val="24"/>
        </w:rPr>
      </w:pPr>
      <w:r>
        <w:rPr>
          <w:rFonts w:hint="eastAsia"/>
          <w:sz w:val="24"/>
          <w:szCs w:val="24"/>
        </w:rPr>
        <w:t>6.4一般电子档案资料的收集与管理</w:t>
      </w:r>
    </w:p>
    <w:p>
      <w:pPr>
        <w:spacing w:line="360" w:lineRule="auto"/>
        <w:ind w:firstLine="480" w:firstLineChars="200"/>
        <w:rPr>
          <w:sz w:val="24"/>
          <w:szCs w:val="24"/>
        </w:rPr>
      </w:pPr>
      <w:r>
        <w:rPr>
          <w:rFonts w:hint="eastAsia"/>
          <w:sz w:val="24"/>
          <w:szCs w:val="24"/>
        </w:rPr>
        <w:t>6.4.1一般电子档案资料，包括以下几个方面：</w:t>
      </w:r>
    </w:p>
    <w:p>
      <w:pPr>
        <w:spacing w:line="360" w:lineRule="auto"/>
        <w:ind w:firstLine="480" w:firstLineChars="200"/>
        <w:rPr>
          <w:sz w:val="24"/>
          <w:szCs w:val="24"/>
        </w:rPr>
      </w:pPr>
      <w:r>
        <w:rPr>
          <w:rFonts w:hint="eastAsia"/>
          <w:sz w:val="24"/>
          <w:szCs w:val="24"/>
        </w:rPr>
        <w:t>（1）机构外出学习或考察时以声像形式记录下来的资料，如照片、视频等；</w:t>
      </w:r>
    </w:p>
    <w:p>
      <w:pPr>
        <w:spacing w:line="360" w:lineRule="auto"/>
        <w:ind w:firstLine="480" w:firstLineChars="200"/>
        <w:rPr>
          <w:sz w:val="24"/>
          <w:szCs w:val="24"/>
        </w:rPr>
      </w:pPr>
      <w:r>
        <w:rPr>
          <w:rFonts w:hint="eastAsia"/>
          <w:sz w:val="24"/>
          <w:szCs w:val="24"/>
        </w:rPr>
        <w:t>（2）平时通过网络所查找的相关机构及项目等内容的相关资料；</w:t>
      </w:r>
    </w:p>
    <w:p>
      <w:pPr>
        <w:spacing w:line="360" w:lineRule="auto"/>
        <w:ind w:firstLine="480" w:firstLineChars="200"/>
        <w:rPr>
          <w:sz w:val="24"/>
          <w:szCs w:val="24"/>
        </w:rPr>
      </w:pPr>
      <w:r>
        <w:rPr>
          <w:rFonts w:hint="eastAsia"/>
          <w:sz w:val="24"/>
          <w:szCs w:val="24"/>
        </w:rPr>
        <w:t>（3）其他经核定为一般电子档案资料的文件。</w:t>
      </w:r>
    </w:p>
    <w:p>
      <w:pPr>
        <w:spacing w:line="360" w:lineRule="auto"/>
        <w:ind w:firstLine="480" w:firstLineChars="200"/>
        <w:rPr>
          <w:sz w:val="24"/>
          <w:szCs w:val="24"/>
        </w:rPr>
      </w:pPr>
      <w:r>
        <w:rPr>
          <w:rFonts w:hint="eastAsia"/>
          <w:sz w:val="24"/>
          <w:szCs w:val="24"/>
        </w:rPr>
        <w:t>6.4.2 一般电子档案资料以普通文件夹（</w:t>
      </w:r>
      <w:r>
        <w:rPr>
          <w:rFonts w:ascii="宋体" w:hAnsi="宋体" w:cs="宋体"/>
          <w:sz w:val="24"/>
          <w:szCs w:val="24"/>
        </w:rPr>
        <w:drawing>
          <wp:inline distT="0" distB="0" distL="0" distR="0">
            <wp:extent cx="327660" cy="272415"/>
            <wp:effectExtent l="0" t="0" r="0" b="0"/>
            <wp:docPr id="188" name="图片 188" descr="QQ截图20140709173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88" descr="QQ截图201407091736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23850" cy="269579"/>
                    </a:xfrm>
                    <a:prstGeom prst="rect">
                      <a:avLst/>
                    </a:prstGeom>
                    <a:noFill/>
                    <a:ln>
                      <a:noFill/>
                    </a:ln>
                  </pic:spPr>
                </pic:pic>
              </a:graphicData>
            </a:graphic>
          </wp:inline>
        </w:drawing>
      </w:r>
      <w:r>
        <w:rPr>
          <w:rFonts w:hint="eastAsia"/>
          <w:sz w:val="24"/>
          <w:szCs w:val="24"/>
        </w:rPr>
        <w:t xml:space="preserve"> ）的形式贮存，统一储存于命名为“一般电子档案资料”的一级文件夹中。一级文件夹内需附上《一般电子档案管理目录》，并随时更新该电子目录。</w:t>
      </w:r>
    </w:p>
    <w:p>
      <w:pPr>
        <w:spacing w:line="360" w:lineRule="auto"/>
        <w:ind w:firstLine="480" w:firstLineChars="200"/>
        <w:rPr>
          <w:sz w:val="24"/>
          <w:szCs w:val="24"/>
        </w:rPr>
      </w:pPr>
      <w:r>
        <w:rPr>
          <w:rFonts w:hint="eastAsia"/>
          <w:sz w:val="24"/>
          <w:szCs w:val="24"/>
        </w:rPr>
        <w:t>6.4.3二级文件夹命名规律为：“序号-名称”（如：“01-</w:t>
      </w:r>
      <w:r>
        <w:rPr>
          <w:rFonts w:hint="eastAsia"/>
          <w:sz w:val="24"/>
          <w:szCs w:val="24"/>
          <w:lang w:eastAsia="zh-CN"/>
        </w:rPr>
        <w:t>北京天地文化发展</w:t>
      </w:r>
      <w:r>
        <w:rPr>
          <w:rFonts w:hint="eastAsia"/>
          <w:sz w:val="24"/>
          <w:szCs w:val="24"/>
        </w:rPr>
        <w:t>基金会相关资料”）。序号排列按照基金会需求排列。</w:t>
      </w:r>
    </w:p>
    <w:p>
      <w:pPr>
        <w:spacing w:line="360" w:lineRule="auto"/>
        <w:ind w:firstLine="480" w:firstLineChars="200"/>
        <w:rPr>
          <w:sz w:val="24"/>
          <w:szCs w:val="24"/>
        </w:rPr>
      </w:pPr>
      <w:r>
        <w:rPr>
          <w:rFonts w:hint="eastAsia"/>
          <w:sz w:val="24"/>
          <w:szCs w:val="24"/>
        </w:rPr>
        <w:t>6.4.4三级文件夹命名规律为：“时间-名称”（如：“2019.01.01-XX机构出访活动）。若文件夹内容有明确的活动时间，则以活动时间为准；若无明确活动时间，则以建立该文件夹的时间为准。若无建立三级文件夹的必要，可不建立。</w:t>
      </w:r>
    </w:p>
    <w:p>
      <w:pPr>
        <w:spacing w:line="360" w:lineRule="auto"/>
        <w:ind w:firstLine="480" w:firstLineChars="200"/>
        <w:rPr>
          <w:sz w:val="24"/>
          <w:szCs w:val="24"/>
        </w:rPr>
      </w:pPr>
      <w:r>
        <w:rPr>
          <w:rFonts w:hint="eastAsia"/>
          <w:sz w:val="24"/>
          <w:szCs w:val="24"/>
        </w:rPr>
        <w:t>6.4.5 四级文件夹按照电子资料内容命名（如：“照片”、“相关报道”等）。若无建立四级文件夹的必要，可不建立。</w:t>
      </w:r>
    </w:p>
    <w:p>
      <w:pPr>
        <w:spacing w:line="360" w:lineRule="auto"/>
        <w:ind w:firstLine="480" w:firstLineChars="200"/>
        <w:rPr>
          <w:sz w:val="24"/>
          <w:szCs w:val="24"/>
        </w:rPr>
      </w:pPr>
      <w:r>
        <w:rPr>
          <w:rFonts w:hint="eastAsia"/>
          <w:sz w:val="24"/>
          <w:szCs w:val="24"/>
        </w:rPr>
        <w:t>6.4.6各部门档案管理人员负责对本部门日常工作中形成的电子文件资料进行收集，编制部门《一般电子文本档案管理目录》。并不定期向行政部门相关人员移交部门《一般电子档案管理目录》，由行政部门相关人员负责统一记录，编制《一般电子档案管理总目录》。</w:t>
      </w:r>
    </w:p>
    <w:p>
      <w:pPr>
        <w:spacing w:line="360" w:lineRule="auto"/>
        <w:ind w:firstLine="480" w:firstLineChars="200"/>
        <w:rPr>
          <w:sz w:val="24"/>
          <w:szCs w:val="24"/>
        </w:rPr>
      </w:pPr>
      <w:r>
        <w:rPr>
          <w:rFonts w:hint="eastAsia"/>
          <w:sz w:val="24"/>
          <w:szCs w:val="24"/>
        </w:rPr>
        <w:t>6.4.7在电子文件内容有更新时，需在文件及文件夹后标明更新日期，如（2019.1.1）。</w:t>
      </w:r>
    </w:p>
    <w:p>
      <w:pPr>
        <w:spacing w:line="360" w:lineRule="auto"/>
        <w:ind w:firstLine="480" w:firstLineChars="200"/>
        <w:rPr>
          <w:sz w:val="24"/>
          <w:szCs w:val="24"/>
        </w:rPr>
      </w:pPr>
      <w:r>
        <w:rPr>
          <w:rFonts w:hint="eastAsia"/>
          <w:sz w:val="24"/>
          <w:szCs w:val="24"/>
        </w:rPr>
        <w:t>6.4.8 一般电子档案资料应储存在特定的电脑硬盘内，并定期进行整理。</w:t>
      </w:r>
    </w:p>
    <w:p>
      <w:pPr>
        <w:spacing w:line="360" w:lineRule="auto"/>
        <w:ind w:firstLine="480" w:firstLineChars="200"/>
        <w:rPr>
          <w:sz w:val="24"/>
          <w:szCs w:val="24"/>
        </w:rPr>
      </w:pPr>
      <w:r>
        <w:rPr>
          <w:rFonts w:hint="eastAsia"/>
          <w:sz w:val="24"/>
          <w:szCs w:val="24"/>
        </w:rPr>
        <w:t>6.4.9 一般电子档案资料的管理需要以全面系统准确、方便共享为原则，建立基金会内部及时共享渠道。</w:t>
      </w:r>
    </w:p>
    <w:p>
      <w:pPr>
        <w:spacing w:line="360" w:lineRule="auto"/>
        <w:ind w:firstLine="480" w:firstLineChars="200"/>
        <w:rPr>
          <w:sz w:val="24"/>
          <w:szCs w:val="24"/>
        </w:rPr>
      </w:pPr>
      <w:r>
        <w:rPr>
          <w:rFonts w:hint="eastAsia"/>
          <w:sz w:val="24"/>
          <w:szCs w:val="24"/>
        </w:rPr>
        <w:t>6.5核心电子档案资料的收集与管理</w:t>
      </w:r>
    </w:p>
    <w:p>
      <w:pPr>
        <w:spacing w:line="360" w:lineRule="auto"/>
        <w:ind w:firstLine="480" w:firstLineChars="200"/>
        <w:rPr>
          <w:sz w:val="24"/>
          <w:szCs w:val="24"/>
        </w:rPr>
      </w:pPr>
      <w:r>
        <w:rPr>
          <w:rFonts w:hint="eastAsia"/>
          <w:sz w:val="24"/>
          <w:szCs w:val="24"/>
        </w:rPr>
        <w:t>6.5.1核心电子档案资料，包括以下几个方面：</w:t>
      </w:r>
    </w:p>
    <w:p>
      <w:pPr>
        <w:spacing w:line="360" w:lineRule="auto"/>
        <w:ind w:firstLine="480" w:firstLineChars="200"/>
        <w:rPr>
          <w:sz w:val="24"/>
          <w:szCs w:val="24"/>
        </w:rPr>
      </w:pPr>
      <w:r>
        <w:rPr>
          <w:rFonts w:hint="eastAsia"/>
          <w:sz w:val="24"/>
          <w:szCs w:val="24"/>
        </w:rPr>
        <w:t>（1）基金会的项目合同、协议、立项文件等的电子版文档或扫描图片；</w:t>
      </w:r>
    </w:p>
    <w:p>
      <w:pPr>
        <w:spacing w:line="360" w:lineRule="auto"/>
        <w:ind w:firstLine="480" w:firstLineChars="200"/>
        <w:rPr>
          <w:sz w:val="24"/>
          <w:szCs w:val="24"/>
        </w:rPr>
      </w:pPr>
      <w:r>
        <w:rPr>
          <w:rFonts w:hint="eastAsia"/>
          <w:sz w:val="24"/>
          <w:szCs w:val="24"/>
        </w:rPr>
        <w:t>（2）本基金会相关证书、资质、年度工作报告、年度财务报告、项目册等相关文件；</w:t>
      </w:r>
    </w:p>
    <w:p>
      <w:pPr>
        <w:spacing w:line="360" w:lineRule="auto"/>
        <w:ind w:firstLine="480" w:firstLineChars="200"/>
        <w:rPr>
          <w:sz w:val="24"/>
          <w:szCs w:val="24"/>
        </w:rPr>
      </w:pPr>
      <w:r>
        <w:rPr>
          <w:rFonts w:hint="eastAsia"/>
          <w:sz w:val="24"/>
          <w:szCs w:val="24"/>
        </w:rPr>
        <w:t>（3）基金会各项会议记录及备忘录等；</w:t>
      </w:r>
    </w:p>
    <w:p>
      <w:pPr>
        <w:spacing w:line="360" w:lineRule="auto"/>
        <w:ind w:firstLine="480" w:firstLineChars="200"/>
        <w:rPr>
          <w:sz w:val="24"/>
          <w:szCs w:val="24"/>
        </w:rPr>
      </w:pPr>
      <w:r>
        <w:rPr>
          <w:rFonts w:hint="eastAsia"/>
          <w:sz w:val="24"/>
          <w:szCs w:val="24"/>
        </w:rPr>
        <w:t>（4）其他经核定为核心电子档案资料的文件。</w:t>
      </w:r>
    </w:p>
    <w:p>
      <w:pPr>
        <w:spacing w:line="360" w:lineRule="auto"/>
        <w:ind w:firstLine="480" w:firstLineChars="200"/>
        <w:rPr>
          <w:sz w:val="24"/>
          <w:szCs w:val="24"/>
        </w:rPr>
      </w:pPr>
      <w:r>
        <w:rPr>
          <w:rFonts w:hint="eastAsia"/>
          <w:sz w:val="24"/>
          <w:szCs w:val="24"/>
        </w:rPr>
        <w:t>6.5.2 核心电子档案资料以“星号”文件夹（</w:t>
      </w:r>
      <w:r>
        <w:rPr>
          <w:rFonts w:ascii="宋体" w:hAnsi="宋体" w:cs="宋体"/>
          <w:sz w:val="24"/>
          <w:szCs w:val="24"/>
        </w:rPr>
        <w:drawing>
          <wp:inline distT="0" distB="0" distL="0" distR="0">
            <wp:extent cx="342900" cy="314325"/>
            <wp:effectExtent l="0" t="0" r="0" b="9525"/>
            <wp:docPr id="208" name="图片 208" descr="QQ截图2014070917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208" descr="QQ截图201407091730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2900" cy="314325"/>
                    </a:xfrm>
                    <a:prstGeom prst="rect">
                      <a:avLst/>
                    </a:prstGeom>
                    <a:noFill/>
                    <a:ln>
                      <a:noFill/>
                    </a:ln>
                  </pic:spPr>
                </pic:pic>
              </a:graphicData>
            </a:graphic>
          </wp:inline>
        </w:drawing>
      </w:r>
      <w:r>
        <w:rPr>
          <w:rFonts w:hint="eastAsia"/>
          <w:sz w:val="24"/>
          <w:szCs w:val="24"/>
        </w:rPr>
        <w:t xml:space="preserve"> ）的形式贮存，统一储存于命名为“核心电子档案资料”的一级文件夹中。不同子文件夹应按需附上名称。一级文件夹内需附上《核心电子档案管理目录》（见附件12-5），并随时更新电子目录。</w:t>
      </w:r>
    </w:p>
    <w:p>
      <w:pPr>
        <w:spacing w:line="360" w:lineRule="auto"/>
        <w:ind w:firstLine="480" w:firstLineChars="200"/>
        <w:rPr>
          <w:sz w:val="24"/>
          <w:szCs w:val="24"/>
        </w:rPr>
      </w:pPr>
      <w:r>
        <w:rPr>
          <w:rFonts w:hint="eastAsia"/>
          <w:sz w:val="24"/>
          <w:szCs w:val="24"/>
        </w:rPr>
        <w:t>6.5.3二级文件夹命名规律为：“序号-名称”（如：“01-</w:t>
      </w:r>
      <w:r>
        <w:rPr>
          <w:rFonts w:hint="eastAsia"/>
          <w:sz w:val="24"/>
          <w:szCs w:val="24"/>
          <w:lang w:eastAsia="zh-CN"/>
        </w:rPr>
        <w:t>北京天地文化发展</w:t>
      </w:r>
      <w:r>
        <w:rPr>
          <w:rFonts w:hint="eastAsia"/>
          <w:sz w:val="24"/>
          <w:szCs w:val="24"/>
        </w:rPr>
        <w:t>基金会相关资料”）。序号排列按照建档时间顺序排列。</w:t>
      </w:r>
    </w:p>
    <w:p>
      <w:pPr>
        <w:spacing w:line="360" w:lineRule="auto"/>
        <w:ind w:firstLine="480" w:firstLineChars="200"/>
        <w:rPr>
          <w:sz w:val="24"/>
          <w:szCs w:val="24"/>
        </w:rPr>
      </w:pPr>
      <w:r>
        <w:rPr>
          <w:rFonts w:hint="eastAsia"/>
          <w:sz w:val="24"/>
          <w:szCs w:val="24"/>
        </w:rPr>
        <w:t>6.5.4三级文件夹按照电子资料内容命名（如：“照片”、“相关报道”等）；与项目相关资料按照“项目进行阶段-合作机构-项目名称”命名（如：“立项阶段-XX机构-XXX项目”）。若无建立三级文件夹的必要，可不建立。</w:t>
      </w:r>
    </w:p>
    <w:p>
      <w:pPr>
        <w:spacing w:line="360" w:lineRule="auto"/>
        <w:ind w:firstLine="480" w:firstLineChars="200"/>
        <w:rPr>
          <w:sz w:val="24"/>
          <w:szCs w:val="24"/>
        </w:rPr>
      </w:pPr>
      <w:r>
        <w:rPr>
          <w:rFonts w:hint="eastAsia"/>
          <w:sz w:val="24"/>
          <w:szCs w:val="24"/>
        </w:rPr>
        <w:t>6.5.5 核心电子档案资料应及时储存在特定的电脑硬盘内，必要时刻录光盘保存。</w:t>
      </w:r>
    </w:p>
    <w:p>
      <w:pPr>
        <w:spacing w:line="360" w:lineRule="auto"/>
        <w:ind w:firstLine="480" w:firstLineChars="200"/>
        <w:rPr>
          <w:sz w:val="24"/>
          <w:szCs w:val="24"/>
        </w:rPr>
      </w:pPr>
      <w:r>
        <w:rPr>
          <w:rFonts w:hint="eastAsia"/>
          <w:sz w:val="24"/>
          <w:szCs w:val="24"/>
        </w:rPr>
        <w:t>6.5.6各部门档案管理人员负责对本部门日常工作中形成的电子文件资料进行收集，并编制部门《核心电子档案管理目录》。</w:t>
      </w:r>
    </w:p>
    <w:p>
      <w:pPr>
        <w:spacing w:line="360" w:lineRule="auto"/>
        <w:ind w:firstLine="480" w:firstLineChars="200"/>
        <w:rPr>
          <w:sz w:val="24"/>
          <w:szCs w:val="24"/>
        </w:rPr>
      </w:pPr>
      <w:r>
        <w:rPr>
          <w:rFonts w:hint="eastAsia"/>
          <w:sz w:val="24"/>
          <w:szCs w:val="24"/>
        </w:rPr>
        <w:t>6.5.7 各部门不定期向行政部门相关人员移交部门《核心文本档案管理目录》，由行政部门相关人员负责统一记录，编制《核心电子档案管理总目录》。</w:t>
      </w:r>
    </w:p>
    <w:p>
      <w:pPr>
        <w:spacing w:line="360" w:lineRule="auto"/>
        <w:ind w:firstLine="480" w:firstLineChars="200"/>
        <w:rPr>
          <w:sz w:val="24"/>
          <w:szCs w:val="24"/>
        </w:rPr>
      </w:pPr>
      <w:r>
        <w:rPr>
          <w:rFonts w:hint="eastAsia"/>
          <w:sz w:val="24"/>
          <w:szCs w:val="24"/>
        </w:rPr>
        <w:t>6.5.8 核心电子档案资料的管理和保存需采取各种办法确保数据安全性。</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7．档案借阅</w:t>
      </w:r>
    </w:p>
    <w:p>
      <w:pPr>
        <w:spacing w:line="360" w:lineRule="auto"/>
        <w:ind w:firstLine="480" w:firstLineChars="200"/>
        <w:rPr>
          <w:sz w:val="24"/>
          <w:szCs w:val="24"/>
        </w:rPr>
      </w:pPr>
      <w:r>
        <w:rPr>
          <w:rFonts w:hint="eastAsia"/>
          <w:sz w:val="24"/>
          <w:szCs w:val="24"/>
        </w:rPr>
        <w:t>7.1文本档案借阅前，应按照要求填写如实每一文件盒/夹内的《档案借阅登记表》。</w:t>
      </w:r>
    </w:p>
    <w:p>
      <w:pPr>
        <w:spacing w:line="360" w:lineRule="auto"/>
        <w:ind w:firstLine="480" w:firstLineChars="200"/>
        <w:rPr>
          <w:sz w:val="24"/>
          <w:szCs w:val="24"/>
        </w:rPr>
      </w:pPr>
      <w:r>
        <w:rPr>
          <w:rFonts w:hint="eastAsia"/>
          <w:sz w:val="24"/>
          <w:szCs w:val="24"/>
        </w:rPr>
        <w:t>7.2核心文本档案资料仅限当天借阅，并于当日下班前归还，不得私自带离公司或隔天归还。</w:t>
      </w:r>
    </w:p>
    <w:p>
      <w:pPr>
        <w:spacing w:line="360" w:lineRule="auto"/>
        <w:ind w:firstLine="480" w:firstLineChars="200"/>
        <w:rPr>
          <w:sz w:val="24"/>
          <w:szCs w:val="24"/>
        </w:rPr>
      </w:pPr>
      <w:r>
        <w:rPr>
          <w:rFonts w:hint="eastAsia"/>
          <w:sz w:val="24"/>
          <w:szCs w:val="24"/>
        </w:rPr>
        <w:t>7.3 借阅涉及公司机密的文件需获得秘书长批准。借阅的档案归还时，必须当面点清，如发现遗失或损坏，应立即报告直接上级。</w:t>
      </w:r>
    </w:p>
    <w:p>
      <w:pPr>
        <w:spacing w:line="360" w:lineRule="auto"/>
        <w:ind w:firstLine="480" w:firstLineChars="200"/>
        <w:rPr>
          <w:sz w:val="24"/>
          <w:szCs w:val="24"/>
        </w:rPr>
      </w:pPr>
      <w:r>
        <w:rPr>
          <w:rFonts w:hint="eastAsia"/>
          <w:sz w:val="24"/>
          <w:szCs w:val="24"/>
        </w:rPr>
        <w:t>7.4 借阅档案用完后，应及时送还，不得超过登记的借阅时间；如需超时，须重新登记。</w:t>
      </w:r>
    </w:p>
    <w:p>
      <w:pPr>
        <w:spacing w:line="360" w:lineRule="auto"/>
        <w:ind w:firstLine="480" w:firstLineChars="200"/>
        <w:rPr>
          <w:sz w:val="24"/>
          <w:szCs w:val="24"/>
        </w:rPr>
      </w:pPr>
      <w:r>
        <w:rPr>
          <w:rFonts w:hint="eastAsia"/>
          <w:sz w:val="24"/>
          <w:szCs w:val="24"/>
        </w:rPr>
        <w:t>借阅人应爱护资料档案，不得擅自涂改、勾画、剪裁、抽取、调换、翻印，不得转借。</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8．档案销毁</w:t>
      </w:r>
    </w:p>
    <w:p>
      <w:pPr>
        <w:spacing w:line="360" w:lineRule="auto"/>
        <w:ind w:firstLine="480" w:firstLineChars="200"/>
        <w:rPr>
          <w:sz w:val="24"/>
          <w:szCs w:val="24"/>
        </w:rPr>
      </w:pPr>
      <w:r>
        <w:rPr>
          <w:rFonts w:hint="eastAsia"/>
          <w:sz w:val="24"/>
          <w:szCs w:val="24"/>
        </w:rPr>
        <w:t>8.1 对已经失去价值或到期的档案，销毁时，必须写申请销毁报告，编制销毁目录，报告部门负责人和秘书长，经鉴定、批准后，方可销毁。</w:t>
      </w:r>
    </w:p>
    <w:p>
      <w:pPr>
        <w:spacing w:line="360" w:lineRule="auto"/>
        <w:ind w:firstLine="480" w:firstLineChars="200"/>
        <w:rPr>
          <w:sz w:val="24"/>
          <w:szCs w:val="24"/>
        </w:rPr>
      </w:pPr>
      <w:r>
        <w:rPr>
          <w:rFonts w:hint="eastAsia"/>
          <w:sz w:val="24"/>
          <w:szCs w:val="24"/>
        </w:rPr>
        <w:t>8.2 执行销毁任务时，必须经由行政部门档案管理负责人员及分部门档案管理负责人员进行监销，监销人不得少于二人，并在《档案销毁目录》签字。</w:t>
      </w:r>
    </w:p>
    <w:p>
      <w:pPr>
        <w:spacing w:line="360" w:lineRule="auto"/>
        <w:ind w:firstLine="480" w:firstLineChars="200"/>
        <w:rPr>
          <w:sz w:val="24"/>
          <w:szCs w:val="24"/>
        </w:rPr>
      </w:pPr>
      <w:r>
        <w:rPr>
          <w:rFonts w:hint="eastAsia"/>
          <w:sz w:val="24"/>
          <w:szCs w:val="24"/>
        </w:rPr>
        <w:t>8.3 销毁后，应将销毁目录和销毁批准手续文件，一并交由行政部门档案管理负责人员，存入档案永久保存。</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9．附则</w:t>
      </w:r>
    </w:p>
    <w:p>
      <w:pPr>
        <w:spacing w:line="360" w:lineRule="auto"/>
        <w:ind w:firstLine="480" w:firstLineChars="200"/>
        <w:rPr>
          <w:rFonts w:ascii="微软雅黑" w:hAnsi="微软雅黑" w:eastAsia="微软雅黑"/>
          <w:b/>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r>
        <w:rPr>
          <w:rFonts w:ascii="微软雅黑" w:hAnsi="微软雅黑" w:eastAsia="微软雅黑"/>
          <w:b/>
          <w:sz w:val="24"/>
          <w:szCs w:val="24"/>
        </w:rPr>
        <w:t xml:space="preserve"> </w:t>
      </w:r>
    </w:p>
    <w:p>
      <w:pPr>
        <w:spacing w:line="360" w:lineRule="auto"/>
        <w:ind w:firstLine="480" w:firstLineChars="200"/>
        <w:rPr>
          <w:sz w:val="24"/>
          <w:szCs w:val="24"/>
        </w:rPr>
      </w:pPr>
    </w:p>
    <w:p>
      <w:pPr>
        <w:spacing w:line="360" w:lineRule="auto"/>
        <w:rPr>
          <w:sz w:val="24"/>
          <w:szCs w:val="24"/>
        </w:rPr>
      </w:pPr>
    </w:p>
    <w:p>
      <w:pPr>
        <w:spacing w:before="156" w:beforeLines="50" w:after="156" w:afterLines="50" w:line="360" w:lineRule="auto"/>
        <w:jc w:val="center"/>
        <w:outlineLvl w:val="1"/>
        <w:rPr>
          <w:rFonts w:ascii="黑体" w:hAnsi="黑体" w:eastAsia="黑体"/>
          <w:b/>
          <w:sz w:val="32"/>
          <w:szCs w:val="32"/>
        </w:rPr>
      </w:pPr>
      <w:bookmarkStart w:id="24" w:name="_Toc8259"/>
      <w:bookmarkStart w:id="25" w:name="_Toc403829186"/>
      <w:r>
        <w:rPr>
          <w:rFonts w:hint="eastAsia" w:ascii="黑体" w:hAnsi="黑体" w:eastAsia="黑体"/>
          <w:b/>
          <w:sz w:val="32"/>
          <w:szCs w:val="32"/>
        </w:rPr>
        <w:t xml:space="preserve">十三 </w:t>
      </w:r>
      <w:r>
        <w:rPr>
          <w:rFonts w:hint="eastAsia" w:ascii="黑体" w:hAnsi="黑体" w:eastAsia="黑体"/>
          <w:b/>
          <w:sz w:val="32"/>
          <w:szCs w:val="32"/>
          <w:lang w:eastAsia="zh-CN"/>
        </w:rPr>
        <w:t>北京天地文化发展</w:t>
      </w:r>
      <w:r>
        <w:rPr>
          <w:rFonts w:hint="eastAsia" w:ascii="黑体" w:hAnsi="黑体" w:eastAsia="黑体"/>
          <w:b/>
          <w:sz w:val="32"/>
          <w:szCs w:val="32"/>
        </w:rPr>
        <w:t>基金会重大事项报告制度</w:t>
      </w:r>
      <w:bookmarkEnd w:id="24"/>
      <w:bookmarkEnd w:id="25"/>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1.1为完善</w:t>
      </w:r>
      <w:r>
        <w:rPr>
          <w:rFonts w:hint="eastAsia"/>
          <w:sz w:val="24"/>
          <w:szCs w:val="24"/>
          <w:lang w:eastAsia="zh-CN"/>
        </w:rPr>
        <w:t>北京天地文化发展</w:t>
      </w:r>
      <w:r>
        <w:rPr>
          <w:rFonts w:hint="eastAsia"/>
          <w:sz w:val="24"/>
          <w:szCs w:val="24"/>
        </w:rPr>
        <w:t>基金会（以下简称“本基金会”）的制度建设，规范本基金会日常工作行为，提高工作效率，依据国务院《基金会管理条例》、《</w:t>
      </w:r>
      <w:r>
        <w:rPr>
          <w:rFonts w:hint="eastAsia"/>
          <w:sz w:val="24"/>
          <w:szCs w:val="24"/>
          <w:lang w:eastAsia="zh-CN"/>
        </w:rPr>
        <w:t>北京天地文化发展</w:t>
      </w:r>
      <w:r>
        <w:rPr>
          <w:rFonts w:hint="eastAsia"/>
          <w:sz w:val="24"/>
          <w:szCs w:val="24"/>
        </w:rPr>
        <w:t>基金会章程》以及相关规定，特制定本制度。</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2．报告内容</w:t>
      </w:r>
    </w:p>
    <w:p>
      <w:pPr>
        <w:spacing w:line="360" w:lineRule="auto"/>
        <w:ind w:firstLine="480" w:firstLineChars="200"/>
        <w:rPr>
          <w:sz w:val="24"/>
          <w:szCs w:val="24"/>
        </w:rPr>
      </w:pPr>
      <w:r>
        <w:rPr>
          <w:rFonts w:hint="eastAsia"/>
          <w:sz w:val="24"/>
          <w:szCs w:val="24"/>
        </w:rPr>
        <w:t>2.1报业务主管北京市民政局事项：</w:t>
      </w:r>
    </w:p>
    <w:p>
      <w:pPr>
        <w:spacing w:line="360" w:lineRule="auto"/>
        <w:ind w:firstLine="480" w:firstLineChars="200"/>
        <w:rPr>
          <w:sz w:val="24"/>
          <w:szCs w:val="24"/>
        </w:rPr>
      </w:pPr>
      <w:r>
        <w:rPr>
          <w:rFonts w:hint="eastAsia"/>
          <w:sz w:val="24"/>
          <w:szCs w:val="24"/>
        </w:rPr>
        <w:t>2.1.1每年工作总结及下年度工作计划，年底前报民政</w:t>
      </w:r>
      <w:r>
        <w:rPr>
          <w:rFonts w:hint="eastAsia"/>
          <w:sz w:val="24"/>
          <w:szCs w:val="24"/>
          <w:lang w:val="en-US" w:eastAsia="zh-CN"/>
        </w:rPr>
        <w:t>局</w:t>
      </w:r>
      <w:r>
        <w:rPr>
          <w:rFonts w:hint="eastAsia"/>
          <w:sz w:val="24"/>
          <w:szCs w:val="24"/>
        </w:rPr>
        <w:t>；</w:t>
      </w:r>
    </w:p>
    <w:p>
      <w:pPr>
        <w:spacing w:line="360" w:lineRule="auto"/>
        <w:ind w:firstLine="480" w:firstLineChars="200"/>
        <w:rPr>
          <w:sz w:val="24"/>
          <w:szCs w:val="24"/>
        </w:rPr>
      </w:pPr>
      <w:r>
        <w:rPr>
          <w:rFonts w:hint="eastAsia"/>
          <w:sz w:val="24"/>
          <w:szCs w:val="24"/>
        </w:rPr>
        <w:t>2.1.2制定、修改章程；</w:t>
      </w:r>
    </w:p>
    <w:p>
      <w:pPr>
        <w:spacing w:line="360" w:lineRule="auto"/>
        <w:ind w:firstLine="480" w:firstLineChars="200"/>
        <w:rPr>
          <w:sz w:val="24"/>
          <w:szCs w:val="24"/>
        </w:rPr>
      </w:pPr>
      <w:r>
        <w:rPr>
          <w:rFonts w:hint="eastAsia"/>
          <w:sz w:val="24"/>
          <w:szCs w:val="24"/>
        </w:rPr>
        <w:t>2.1.3</w:t>
      </w:r>
      <w:r>
        <w:rPr>
          <w:rFonts w:hint="eastAsia"/>
          <w:sz w:val="24"/>
          <w:szCs w:val="24"/>
          <w:lang w:val="en-US" w:eastAsia="zh-CN"/>
        </w:rPr>
        <w:t>理事会换届</w:t>
      </w:r>
      <w:r>
        <w:rPr>
          <w:rFonts w:hint="eastAsia"/>
          <w:sz w:val="24"/>
          <w:szCs w:val="24"/>
        </w:rPr>
        <w:t>选举、罢免理事长、副理事长、秘书长，聘请名誉职务；</w:t>
      </w:r>
    </w:p>
    <w:p>
      <w:pPr>
        <w:spacing w:line="360" w:lineRule="auto"/>
        <w:ind w:firstLine="480" w:firstLineChars="200"/>
        <w:rPr>
          <w:sz w:val="24"/>
          <w:szCs w:val="24"/>
        </w:rPr>
      </w:pPr>
      <w:r>
        <w:rPr>
          <w:rFonts w:hint="eastAsia"/>
          <w:sz w:val="24"/>
          <w:szCs w:val="24"/>
        </w:rPr>
        <w:t>2.1.4本基金会名称、住所、宗旨、业务范围、法定代表人、注册资金、业务主管单位发生变化；</w:t>
      </w:r>
    </w:p>
    <w:p>
      <w:pPr>
        <w:spacing w:line="360" w:lineRule="auto"/>
        <w:ind w:firstLine="480" w:firstLineChars="200"/>
        <w:rPr>
          <w:sz w:val="24"/>
          <w:szCs w:val="24"/>
        </w:rPr>
      </w:pPr>
      <w:r>
        <w:rPr>
          <w:rFonts w:hint="eastAsia"/>
          <w:sz w:val="24"/>
          <w:szCs w:val="24"/>
        </w:rPr>
        <w:t>2.1.5决定设立办事机构、分支机构、代表机构；</w:t>
      </w:r>
    </w:p>
    <w:p>
      <w:pPr>
        <w:spacing w:line="360" w:lineRule="auto"/>
        <w:ind w:firstLine="480" w:firstLineChars="200"/>
        <w:rPr>
          <w:rFonts w:hint="default"/>
          <w:sz w:val="24"/>
          <w:szCs w:val="24"/>
          <w:lang w:val="en-US" w:eastAsia="zh-CN"/>
        </w:rPr>
      </w:pPr>
      <w:r>
        <w:rPr>
          <w:rFonts w:hint="eastAsia"/>
          <w:sz w:val="24"/>
          <w:szCs w:val="24"/>
        </w:rPr>
        <w:t>2.1.</w:t>
      </w:r>
      <w:r>
        <w:rPr>
          <w:rFonts w:hint="eastAsia"/>
          <w:sz w:val="24"/>
          <w:szCs w:val="24"/>
          <w:lang w:val="en-US" w:eastAsia="zh-CN"/>
        </w:rPr>
        <w:t>6 决定开展的重大公益项目、重大投资项目、涉外活动等；</w:t>
      </w:r>
    </w:p>
    <w:p>
      <w:pPr>
        <w:spacing w:line="360" w:lineRule="auto"/>
        <w:ind w:firstLine="480" w:firstLineChars="200"/>
        <w:rPr>
          <w:sz w:val="24"/>
          <w:szCs w:val="24"/>
        </w:rPr>
      </w:pPr>
      <w:r>
        <w:rPr>
          <w:rFonts w:hint="eastAsia"/>
          <w:sz w:val="24"/>
          <w:szCs w:val="24"/>
          <w:lang w:val="en-US" w:eastAsia="zh-CN"/>
        </w:rPr>
        <w:t>2.1.7</w:t>
      </w:r>
      <w:r>
        <w:rPr>
          <w:rFonts w:hint="eastAsia"/>
          <w:sz w:val="24"/>
          <w:szCs w:val="24"/>
        </w:rPr>
        <w:t>北京市民政局规定的其他重大事项。</w:t>
      </w:r>
    </w:p>
    <w:p>
      <w:pPr>
        <w:spacing w:line="360" w:lineRule="auto"/>
        <w:ind w:firstLine="480" w:firstLineChars="200"/>
        <w:rPr>
          <w:sz w:val="24"/>
          <w:szCs w:val="24"/>
        </w:rPr>
      </w:pPr>
      <w:r>
        <w:rPr>
          <w:rFonts w:hint="eastAsia"/>
          <w:sz w:val="24"/>
          <w:szCs w:val="24"/>
        </w:rPr>
        <w:t>2.2秘书处向理事会报告的重大事项：</w:t>
      </w:r>
    </w:p>
    <w:p>
      <w:pPr>
        <w:spacing w:line="360" w:lineRule="auto"/>
        <w:ind w:firstLine="480" w:firstLineChars="200"/>
        <w:rPr>
          <w:sz w:val="24"/>
          <w:szCs w:val="24"/>
        </w:rPr>
      </w:pPr>
      <w:r>
        <w:rPr>
          <w:rFonts w:hint="eastAsia"/>
          <w:sz w:val="24"/>
          <w:szCs w:val="24"/>
        </w:rPr>
        <w:t>2.2.1章程的制定和修改；</w:t>
      </w:r>
    </w:p>
    <w:p>
      <w:pPr>
        <w:spacing w:line="360" w:lineRule="auto"/>
        <w:ind w:firstLine="480" w:firstLineChars="200"/>
        <w:rPr>
          <w:sz w:val="24"/>
          <w:szCs w:val="24"/>
        </w:rPr>
      </w:pPr>
      <w:r>
        <w:rPr>
          <w:rFonts w:hint="eastAsia"/>
          <w:sz w:val="24"/>
          <w:szCs w:val="24"/>
        </w:rPr>
        <w:t>2.2.2内部管理制度的制定；</w:t>
      </w:r>
    </w:p>
    <w:p>
      <w:pPr>
        <w:spacing w:line="360" w:lineRule="auto"/>
        <w:ind w:firstLine="480" w:firstLineChars="200"/>
        <w:rPr>
          <w:sz w:val="24"/>
          <w:szCs w:val="24"/>
        </w:rPr>
      </w:pPr>
      <w:r>
        <w:rPr>
          <w:rFonts w:hint="eastAsia"/>
          <w:sz w:val="24"/>
          <w:szCs w:val="24"/>
        </w:rPr>
        <w:t>2.2.3决定由秘书长提名的副秘书长、财务会计的聘任，表彰与奖励对本基金会有贡献人员；</w:t>
      </w:r>
    </w:p>
    <w:p>
      <w:pPr>
        <w:spacing w:line="360" w:lineRule="auto"/>
        <w:ind w:firstLine="480" w:firstLineChars="200"/>
        <w:rPr>
          <w:sz w:val="24"/>
          <w:szCs w:val="24"/>
        </w:rPr>
      </w:pPr>
      <w:r>
        <w:rPr>
          <w:rFonts w:hint="eastAsia"/>
          <w:sz w:val="24"/>
          <w:szCs w:val="24"/>
        </w:rPr>
        <w:t>2.2.4审定大额资助项目；</w:t>
      </w:r>
    </w:p>
    <w:p>
      <w:pPr>
        <w:spacing w:line="360" w:lineRule="auto"/>
        <w:ind w:firstLine="480" w:firstLineChars="200"/>
        <w:rPr>
          <w:sz w:val="24"/>
          <w:szCs w:val="24"/>
        </w:rPr>
      </w:pPr>
      <w:r>
        <w:rPr>
          <w:rFonts w:hint="eastAsia"/>
          <w:sz w:val="24"/>
          <w:szCs w:val="24"/>
        </w:rPr>
        <w:t>2.2.5年度收支预算及决算审定；</w:t>
      </w:r>
    </w:p>
    <w:p>
      <w:pPr>
        <w:spacing w:line="360" w:lineRule="auto"/>
        <w:ind w:firstLine="480" w:firstLineChars="200"/>
        <w:rPr>
          <w:sz w:val="24"/>
          <w:szCs w:val="24"/>
        </w:rPr>
      </w:pPr>
      <w:r>
        <w:rPr>
          <w:rFonts w:hint="eastAsia"/>
          <w:sz w:val="24"/>
          <w:szCs w:val="24"/>
        </w:rPr>
        <w:t>2.2.6向媒体公布本基金会年度工作计划、项目执行情况、会计审计报告等；</w:t>
      </w:r>
    </w:p>
    <w:p>
      <w:pPr>
        <w:spacing w:line="360" w:lineRule="auto"/>
        <w:ind w:firstLine="480" w:firstLineChars="200"/>
        <w:rPr>
          <w:sz w:val="24"/>
          <w:szCs w:val="24"/>
        </w:rPr>
      </w:pPr>
      <w:r>
        <w:rPr>
          <w:rFonts w:hint="eastAsia"/>
          <w:sz w:val="24"/>
          <w:szCs w:val="24"/>
        </w:rPr>
        <w:t>2.2.7决定设立办事机构、分支机构、代表机构；</w:t>
      </w:r>
    </w:p>
    <w:p>
      <w:pPr>
        <w:spacing w:line="360" w:lineRule="auto"/>
        <w:ind w:firstLine="480" w:firstLineChars="200"/>
        <w:rPr>
          <w:sz w:val="24"/>
          <w:szCs w:val="24"/>
        </w:rPr>
      </w:pPr>
      <w:r>
        <w:rPr>
          <w:rFonts w:hint="eastAsia"/>
          <w:sz w:val="24"/>
          <w:szCs w:val="24"/>
        </w:rPr>
        <w:t>2.2.8决定本会的分立、合并和终止；</w:t>
      </w:r>
    </w:p>
    <w:p>
      <w:pPr>
        <w:spacing w:line="360" w:lineRule="auto"/>
        <w:ind w:firstLine="480" w:firstLineChars="200"/>
        <w:rPr>
          <w:sz w:val="24"/>
          <w:szCs w:val="24"/>
        </w:rPr>
      </w:pPr>
      <w:r>
        <w:rPr>
          <w:rFonts w:hint="eastAsia"/>
          <w:sz w:val="24"/>
          <w:szCs w:val="24"/>
        </w:rPr>
        <w:t>2.2.9需要报告的其他重大事项。</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3．重大事项报告程序和要求</w:t>
      </w:r>
    </w:p>
    <w:p>
      <w:pPr>
        <w:spacing w:line="360" w:lineRule="auto"/>
        <w:ind w:firstLine="480" w:firstLineChars="200"/>
        <w:rPr>
          <w:sz w:val="24"/>
          <w:szCs w:val="24"/>
        </w:rPr>
      </w:pPr>
      <w:r>
        <w:rPr>
          <w:rFonts w:hint="eastAsia"/>
          <w:sz w:val="24"/>
          <w:szCs w:val="24"/>
        </w:rPr>
        <w:t>3.1实行逐级报告制度。报告要坚持分级负责，逐级报告的原则，凡属职权范围的工作，要各负其责，认真落实。凡重大问题本级无权决定的，要逐级报告，不得超越权限；</w:t>
      </w:r>
    </w:p>
    <w:p>
      <w:pPr>
        <w:spacing w:line="360" w:lineRule="auto"/>
        <w:ind w:firstLine="480" w:firstLineChars="200"/>
        <w:rPr>
          <w:sz w:val="24"/>
          <w:szCs w:val="24"/>
        </w:rPr>
      </w:pPr>
      <w:r>
        <w:rPr>
          <w:rFonts w:hint="eastAsia"/>
          <w:sz w:val="24"/>
          <w:szCs w:val="24"/>
        </w:rPr>
        <w:t>3.2上述需向理事会报告的重要事项，秘书长先向理事长报告，再向理事会报告；</w:t>
      </w:r>
    </w:p>
    <w:p>
      <w:pPr>
        <w:spacing w:line="360" w:lineRule="auto"/>
        <w:ind w:firstLine="480" w:firstLineChars="200"/>
        <w:rPr>
          <w:sz w:val="24"/>
          <w:szCs w:val="24"/>
        </w:rPr>
      </w:pPr>
      <w:r>
        <w:rPr>
          <w:rFonts w:hint="eastAsia"/>
          <w:sz w:val="24"/>
          <w:szCs w:val="24"/>
        </w:rPr>
        <w:t>3.3秘书处在工作中遇到的重要问题，由秘书长及时报告理事长；</w:t>
      </w:r>
    </w:p>
    <w:p>
      <w:pPr>
        <w:spacing w:line="360" w:lineRule="auto"/>
        <w:ind w:firstLine="480" w:firstLineChars="200"/>
        <w:rPr>
          <w:sz w:val="24"/>
          <w:szCs w:val="24"/>
        </w:rPr>
      </w:pPr>
      <w:r>
        <w:rPr>
          <w:rFonts w:hint="eastAsia"/>
          <w:sz w:val="24"/>
          <w:szCs w:val="24"/>
        </w:rPr>
        <w:t>3.4秘书处工作人员在工作中遇到的重要情况和重大问题应及时向秘书长报告；</w:t>
      </w:r>
    </w:p>
    <w:p>
      <w:pPr>
        <w:spacing w:line="360" w:lineRule="auto"/>
        <w:ind w:firstLine="480" w:firstLineChars="200"/>
        <w:rPr>
          <w:sz w:val="24"/>
          <w:szCs w:val="24"/>
        </w:rPr>
      </w:pPr>
      <w:r>
        <w:rPr>
          <w:rFonts w:hint="eastAsia"/>
          <w:sz w:val="24"/>
          <w:szCs w:val="24"/>
        </w:rPr>
        <w:t>3.5凡需要报告的重大事项由报告部门或个人用书面、口头或其他形式报告，能事前报告的事要事前报告，事前无法报告的，事后应及时补报；</w:t>
      </w:r>
    </w:p>
    <w:p>
      <w:pPr>
        <w:spacing w:line="360" w:lineRule="auto"/>
        <w:ind w:firstLine="480" w:firstLineChars="200"/>
        <w:rPr>
          <w:sz w:val="24"/>
          <w:szCs w:val="24"/>
        </w:rPr>
      </w:pPr>
      <w:r>
        <w:rPr>
          <w:rFonts w:hint="eastAsia"/>
          <w:sz w:val="24"/>
          <w:szCs w:val="24"/>
        </w:rPr>
        <w:t>3.6凡重大突发事件，必须在第一时间（1小时内）报告直接领导，一般事故要及时（4小时内）报告；可先用电话口头报告，然后再补报文字报告。来不及报送详细情况的，可先进行初报，然后根据事态进展和处理情况，随时进行续报。</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4．纪律与监督</w:t>
      </w:r>
    </w:p>
    <w:p>
      <w:pPr>
        <w:spacing w:line="360" w:lineRule="auto"/>
        <w:ind w:firstLine="480" w:firstLineChars="200"/>
        <w:rPr>
          <w:sz w:val="24"/>
          <w:szCs w:val="24"/>
        </w:rPr>
      </w:pPr>
      <w:r>
        <w:rPr>
          <w:rFonts w:hint="eastAsia"/>
          <w:sz w:val="24"/>
          <w:szCs w:val="24"/>
        </w:rPr>
        <w:t>4.1上级负责人对下级报告的重要事项，属自身职责范围的要及时答复或处理，自身难以处理的，要及时上报。因自身处理不当或应上报而未上报的，造成后果的要追究当事人责任；</w:t>
      </w:r>
    </w:p>
    <w:p>
      <w:pPr>
        <w:spacing w:line="360" w:lineRule="auto"/>
        <w:ind w:firstLine="480" w:firstLineChars="200"/>
        <w:rPr>
          <w:sz w:val="24"/>
          <w:szCs w:val="24"/>
        </w:rPr>
      </w:pPr>
      <w:r>
        <w:rPr>
          <w:rFonts w:hint="eastAsia"/>
          <w:sz w:val="24"/>
          <w:szCs w:val="24"/>
        </w:rPr>
        <w:t>4.2报告对象必须及时按要求如实报告，并严格按批复意见办理。未按要求报告或未按批复意见办理的，视情节轻重给予纪律处分；</w:t>
      </w:r>
    </w:p>
    <w:p>
      <w:pPr>
        <w:spacing w:line="360" w:lineRule="auto"/>
        <w:ind w:firstLine="480" w:firstLineChars="200"/>
        <w:rPr>
          <w:sz w:val="24"/>
          <w:szCs w:val="24"/>
        </w:rPr>
      </w:pPr>
      <w:r>
        <w:rPr>
          <w:rFonts w:hint="eastAsia"/>
          <w:sz w:val="24"/>
          <w:szCs w:val="24"/>
        </w:rPr>
        <w:t>4.3对一些影响本基金会事业发展全局的突发事件，因本部门或当事人原因导致未及时上报而造成严重后果的，要追究当事人和部门负责人的责任；</w:t>
      </w:r>
    </w:p>
    <w:p>
      <w:pPr>
        <w:spacing w:line="360" w:lineRule="auto"/>
        <w:ind w:firstLine="480" w:firstLineChars="200"/>
        <w:rPr>
          <w:sz w:val="24"/>
          <w:szCs w:val="24"/>
        </w:rPr>
      </w:pPr>
      <w:r>
        <w:rPr>
          <w:rFonts w:hint="eastAsia"/>
          <w:sz w:val="24"/>
          <w:szCs w:val="24"/>
        </w:rPr>
        <w:t>4.4重大事项报告情况，由综合管理部负责督办。</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5．附则</w:t>
      </w:r>
    </w:p>
    <w:p>
      <w:pPr>
        <w:spacing w:line="360" w:lineRule="auto"/>
        <w:ind w:firstLine="480" w:firstLineChars="200"/>
        <w:rPr>
          <w:rFonts w:hint="eastAsia"/>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p>
    <w:p>
      <w:pPr>
        <w:spacing w:line="360" w:lineRule="auto"/>
        <w:ind w:firstLine="480" w:firstLineChars="200"/>
        <w:rPr>
          <w:rFonts w:hint="eastAsia"/>
          <w:sz w:val="24"/>
          <w:szCs w:val="24"/>
        </w:rPr>
      </w:pPr>
    </w:p>
    <w:p>
      <w:pPr>
        <w:spacing w:before="156" w:beforeLines="50" w:after="156" w:afterLines="50" w:line="360" w:lineRule="auto"/>
        <w:jc w:val="center"/>
        <w:outlineLvl w:val="1"/>
        <w:rPr>
          <w:rFonts w:ascii="黑体" w:hAnsi="黑体" w:eastAsia="黑体"/>
          <w:b/>
          <w:sz w:val="32"/>
          <w:szCs w:val="32"/>
        </w:rPr>
      </w:pPr>
      <w:bookmarkStart w:id="26" w:name="_Toc7456"/>
      <w:bookmarkStart w:id="27" w:name="_Toc403829187"/>
      <w:r>
        <w:rPr>
          <w:rFonts w:hint="eastAsia" w:ascii="黑体" w:hAnsi="黑体" w:eastAsia="黑体"/>
          <w:b/>
          <w:sz w:val="32"/>
          <w:szCs w:val="32"/>
        </w:rPr>
        <w:t xml:space="preserve">十四 </w:t>
      </w:r>
      <w:r>
        <w:rPr>
          <w:rFonts w:hint="eastAsia" w:ascii="黑体" w:hAnsi="黑体" w:eastAsia="黑体"/>
          <w:b/>
          <w:sz w:val="32"/>
          <w:szCs w:val="32"/>
          <w:lang w:eastAsia="zh-CN"/>
        </w:rPr>
        <w:t>北京天地文化发展</w:t>
      </w:r>
      <w:r>
        <w:rPr>
          <w:rFonts w:hint="eastAsia" w:ascii="黑体" w:hAnsi="黑体" w:eastAsia="黑体"/>
          <w:b/>
          <w:sz w:val="32"/>
          <w:szCs w:val="32"/>
        </w:rPr>
        <w:t>基金会财务管理制度</w:t>
      </w:r>
      <w:bookmarkEnd w:id="26"/>
      <w:bookmarkEnd w:id="27"/>
    </w:p>
    <w:p>
      <w:pPr>
        <w:spacing w:line="360" w:lineRule="auto"/>
        <w:ind w:firstLine="480" w:firstLineChars="200"/>
        <w:rPr>
          <w:sz w:val="24"/>
          <w:szCs w:val="24"/>
        </w:rPr>
      </w:pPr>
      <w:r>
        <w:rPr>
          <w:rFonts w:hint="eastAsia"/>
          <w:sz w:val="24"/>
          <w:szCs w:val="24"/>
        </w:rPr>
        <w:t>为了加强</w:t>
      </w:r>
      <w:r>
        <w:rPr>
          <w:rFonts w:hint="eastAsia"/>
          <w:sz w:val="24"/>
          <w:szCs w:val="24"/>
          <w:lang w:eastAsia="zh-CN"/>
        </w:rPr>
        <w:t>北京天地文化发展</w:t>
      </w:r>
      <w:r>
        <w:rPr>
          <w:rFonts w:hint="eastAsia"/>
          <w:sz w:val="24"/>
          <w:szCs w:val="24"/>
        </w:rPr>
        <w:t>基金会（以下简称</w:t>
      </w:r>
      <w:r>
        <w:rPr>
          <w:rFonts w:hint="eastAsia"/>
          <w:sz w:val="24"/>
          <w:szCs w:val="24"/>
          <w:lang w:eastAsia="zh-CN"/>
        </w:rPr>
        <w:t>天地基金会</w:t>
      </w:r>
      <w:r>
        <w:rPr>
          <w:rFonts w:hint="eastAsia"/>
          <w:sz w:val="24"/>
          <w:szCs w:val="24"/>
        </w:rPr>
        <w:t>）的财务管理，根据《中华人民共和国慈善法》、《中华人民共和国会计法》、《基金会管理条例》、《民间非营利组织会计制度》等法律法规，按照《</w:t>
      </w:r>
      <w:r>
        <w:rPr>
          <w:rFonts w:hint="eastAsia"/>
          <w:sz w:val="24"/>
          <w:szCs w:val="24"/>
          <w:lang w:eastAsia="zh-CN"/>
        </w:rPr>
        <w:t>北京天地文化发展</w:t>
      </w:r>
      <w:r>
        <w:rPr>
          <w:rFonts w:hint="eastAsia"/>
          <w:sz w:val="24"/>
          <w:szCs w:val="24"/>
        </w:rPr>
        <w:t>基金会章程》的规定，制定本制度。</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 总则</w:t>
      </w:r>
    </w:p>
    <w:p>
      <w:pPr>
        <w:spacing w:line="360" w:lineRule="auto"/>
        <w:ind w:firstLine="480" w:firstLineChars="200"/>
        <w:rPr>
          <w:sz w:val="24"/>
          <w:szCs w:val="24"/>
        </w:rPr>
      </w:pPr>
      <w:r>
        <w:rPr>
          <w:rFonts w:hint="eastAsia"/>
          <w:sz w:val="24"/>
          <w:szCs w:val="24"/>
        </w:rPr>
        <w:t xml:space="preserve">1.1 </w:t>
      </w:r>
      <w:r>
        <w:rPr>
          <w:rFonts w:hint="eastAsia"/>
          <w:sz w:val="24"/>
          <w:szCs w:val="24"/>
          <w:lang w:eastAsia="zh-CN"/>
        </w:rPr>
        <w:t>天地基金会</w:t>
      </w:r>
      <w:r>
        <w:rPr>
          <w:rFonts w:hint="eastAsia"/>
          <w:sz w:val="24"/>
          <w:szCs w:val="24"/>
        </w:rPr>
        <w:t>财务管理的主要任务是通过资金的管理和运用，对机构的经济活动进行综合管理。具体包括：管理各项收入，降低成本费用，合理安排和使用各项资金；加强经济核算，提高资金使用效益；建立健全财务管理制度和规程，加强财务监督、检查；维护机构财产完好，充分发挥财产物资效益；开展财务分析，参与机构经济决策，规范财务信息披露，促进机构建设和事业发展。</w:t>
      </w:r>
    </w:p>
    <w:p>
      <w:pPr>
        <w:spacing w:line="360" w:lineRule="auto"/>
        <w:ind w:firstLine="480" w:firstLineChars="200"/>
        <w:rPr>
          <w:sz w:val="24"/>
          <w:szCs w:val="24"/>
        </w:rPr>
      </w:pPr>
      <w:r>
        <w:rPr>
          <w:rFonts w:hint="eastAsia"/>
          <w:sz w:val="24"/>
          <w:szCs w:val="24"/>
        </w:rPr>
        <w:t xml:space="preserve">1.2 </w:t>
      </w:r>
      <w:r>
        <w:rPr>
          <w:rFonts w:hint="eastAsia"/>
          <w:sz w:val="24"/>
          <w:szCs w:val="24"/>
          <w:lang w:eastAsia="zh-CN"/>
        </w:rPr>
        <w:t>天地基金会</w:t>
      </w:r>
      <w:r>
        <w:rPr>
          <w:rFonts w:hint="eastAsia"/>
          <w:sz w:val="24"/>
          <w:szCs w:val="24"/>
        </w:rPr>
        <w:t>财务管理的内容包括：财务管理体制、预算管理、收入管理、支出管理、成本管理、物资管理、资产管理、投资管理、财务分析和财务监督、财务决算和财务会计信息披露等。</w:t>
      </w:r>
    </w:p>
    <w:p>
      <w:pPr>
        <w:spacing w:line="360" w:lineRule="auto"/>
        <w:ind w:firstLine="480" w:firstLineChars="200"/>
        <w:rPr>
          <w:sz w:val="24"/>
          <w:szCs w:val="24"/>
        </w:rPr>
      </w:pPr>
      <w:r>
        <w:rPr>
          <w:rFonts w:hint="eastAsia"/>
          <w:sz w:val="24"/>
          <w:szCs w:val="24"/>
        </w:rPr>
        <w:t xml:space="preserve">1.3 </w:t>
      </w:r>
      <w:r>
        <w:rPr>
          <w:rFonts w:hint="eastAsia"/>
          <w:sz w:val="24"/>
          <w:szCs w:val="24"/>
          <w:lang w:eastAsia="zh-CN"/>
        </w:rPr>
        <w:t>天地基金会</w:t>
      </w:r>
      <w:r>
        <w:rPr>
          <w:rFonts w:hint="eastAsia"/>
          <w:sz w:val="24"/>
          <w:szCs w:val="24"/>
        </w:rPr>
        <w:t>财务管理的各项具体内容包括：内部控制、预算管理、资产管理、投资管理、会计档案管理、票据管理等，与本制度共同组成</w:t>
      </w:r>
      <w:r>
        <w:rPr>
          <w:rFonts w:hint="eastAsia"/>
          <w:sz w:val="24"/>
          <w:szCs w:val="24"/>
          <w:lang w:eastAsia="zh-CN"/>
        </w:rPr>
        <w:t>天地基金会</w:t>
      </w:r>
      <w:r>
        <w:rPr>
          <w:rFonts w:hint="eastAsia"/>
          <w:sz w:val="24"/>
          <w:szCs w:val="24"/>
        </w:rPr>
        <w:t>财务管理的规范体系。各项具体管理办法按</w:t>
      </w:r>
      <w:r>
        <w:rPr>
          <w:rFonts w:hint="eastAsia"/>
          <w:sz w:val="24"/>
          <w:szCs w:val="24"/>
          <w:lang w:eastAsia="zh-CN"/>
        </w:rPr>
        <w:t>天地基金会</w:t>
      </w:r>
      <w:r>
        <w:rPr>
          <w:rFonts w:hint="eastAsia"/>
          <w:sz w:val="24"/>
          <w:szCs w:val="24"/>
        </w:rPr>
        <w:t>章程由理事会授权秘书长制订并实施。</w:t>
      </w:r>
    </w:p>
    <w:p>
      <w:pPr>
        <w:spacing w:line="360" w:lineRule="auto"/>
        <w:ind w:firstLine="480" w:firstLineChars="200"/>
        <w:rPr>
          <w:sz w:val="24"/>
          <w:szCs w:val="24"/>
        </w:rPr>
      </w:pPr>
      <w:r>
        <w:rPr>
          <w:rFonts w:hint="eastAsia"/>
          <w:sz w:val="24"/>
          <w:szCs w:val="24"/>
        </w:rPr>
        <w:t>1.4 财务管理是机构管理的重要组成部分，</w:t>
      </w:r>
      <w:r>
        <w:rPr>
          <w:rFonts w:hint="eastAsia"/>
          <w:sz w:val="24"/>
          <w:szCs w:val="24"/>
          <w:lang w:eastAsia="zh-CN"/>
        </w:rPr>
        <w:t>天地基金会</w:t>
      </w:r>
      <w:r>
        <w:rPr>
          <w:rFonts w:hint="eastAsia"/>
          <w:sz w:val="24"/>
          <w:szCs w:val="24"/>
        </w:rPr>
        <w:t>根据章程规定，切实做好财务管理工作。</w:t>
      </w:r>
    </w:p>
    <w:p>
      <w:pPr>
        <w:spacing w:line="360" w:lineRule="auto"/>
        <w:ind w:firstLine="480" w:firstLineChars="200"/>
        <w:rPr>
          <w:sz w:val="24"/>
          <w:szCs w:val="24"/>
        </w:rPr>
      </w:pPr>
      <w:r>
        <w:rPr>
          <w:rFonts w:hint="eastAsia"/>
          <w:sz w:val="24"/>
          <w:szCs w:val="24"/>
        </w:rPr>
        <w:t xml:space="preserve">1.5 </w:t>
      </w:r>
      <w:r>
        <w:rPr>
          <w:rFonts w:hint="eastAsia"/>
          <w:sz w:val="24"/>
          <w:szCs w:val="24"/>
          <w:lang w:eastAsia="zh-CN"/>
        </w:rPr>
        <w:t>天地基金会</w:t>
      </w:r>
      <w:r>
        <w:rPr>
          <w:rFonts w:hint="eastAsia"/>
          <w:sz w:val="24"/>
          <w:szCs w:val="24"/>
        </w:rPr>
        <w:t>的财务管理实行统一领导、归口管理的原则。在秘书处的领导下，一切财务收支活动归口财务管理部门统一管理。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 财务管理体制</w:t>
      </w:r>
    </w:p>
    <w:p>
      <w:pPr>
        <w:spacing w:line="360" w:lineRule="auto"/>
        <w:ind w:firstLine="480" w:firstLineChars="200"/>
        <w:rPr>
          <w:sz w:val="24"/>
          <w:szCs w:val="24"/>
        </w:rPr>
      </w:pPr>
      <w:r>
        <w:rPr>
          <w:rFonts w:hint="eastAsia"/>
          <w:sz w:val="24"/>
          <w:szCs w:val="24"/>
        </w:rPr>
        <w:t xml:space="preserve">2.1 </w:t>
      </w:r>
      <w:r>
        <w:rPr>
          <w:rFonts w:hint="eastAsia"/>
          <w:sz w:val="24"/>
          <w:szCs w:val="24"/>
          <w:lang w:eastAsia="zh-CN"/>
        </w:rPr>
        <w:t>天地基金会</w:t>
      </w:r>
      <w:r>
        <w:rPr>
          <w:rFonts w:hint="eastAsia"/>
          <w:sz w:val="24"/>
          <w:szCs w:val="24"/>
        </w:rPr>
        <w:t>的最高权力机构是理事会。理事会定期审议机构财务报告，并决定财务工作中的重大问题，财务日常管理工作由秘书长负责。</w:t>
      </w:r>
    </w:p>
    <w:p>
      <w:pPr>
        <w:spacing w:line="360" w:lineRule="auto"/>
        <w:ind w:firstLine="480" w:firstLineChars="200"/>
        <w:rPr>
          <w:sz w:val="24"/>
          <w:szCs w:val="24"/>
        </w:rPr>
      </w:pPr>
      <w:r>
        <w:rPr>
          <w:rFonts w:hint="eastAsia"/>
          <w:sz w:val="24"/>
          <w:szCs w:val="24"/>
        </w:rPr>
        <w:t xml:space="preserve">2.2 </w:t>
      </w:r>
      <w:r>
        <w:rPr>
          <w:rFonts w:hint="eastAsia"/>
          <w:sz w:val="24"/>
          <w:szCs w:val="24"/>
          <w:lang w:eastAsia="zh-CN"/>
        </w:rPr>
        <w:t>天地基金会</w:t>
      </w:r>
      <w:r>
        <w:rPr>
          <w:rFonts w:hint="eastAsia"/>
          <w:sz w:val="24"/>
          <w:szCs w:val="24"/>
        </w:rPr>
        <w:t xml:space="preserve">配备具有专业资格的会计人员，会计不得兼任出纳。会计人员必须按照《民间非营利组织会计制度》进行会计核算，实行会计监督。会计人员调动工作或离职时，必须与接管人员办理交接手续。 </w:t>
      </w:r>
    </w:p>
    <w:p>
      <w:pPr>
        <w:spacing w:line="360" w:lineRule="auto"/>
        <w:ind w:firstLine="480" w:firstLineChars="200"/>
        <w:rPr>
          <w:sz w:val="24"/>
          <w:szCs w:val="24"/>
        </w:rPr>
      </w:pPr>
      <w:r>
        <w:rPr>
          <w:rFonts w:hint="eastAsia"/>
          <w:sz w:val="24"/>
          <w:szCs w:val="24"/>
        </w:rPr>
        <w:t xml:space="preserve">2.3 </w:t>
      </w:r>
      <w:r>
        <w:rPr>
          <w:rFonts w:hint="eastAsia"/>
          <w:sz w:val="24"/>
          <w:szCs w:val="24"/>
          <w:lang w:eastAsia="zh-CN"/>
        </w:rPr>
        <w:t>天地基金会</w:t>
      </w:r>
      <w:r>
        <w:rPr>
          <w:rFonts w:hint="eastAsia"/>
          <w:sz w:val="24"/>
          <w:szCs w:val="24"/>
        </w:rPr>
        <w:t xml:space="preserve">的财务活动依法接受社会公众和国家有关管理部门的监督；每年接受独立会计师事务所的审计。 </w:t>
      </w:r>
    </w:p>
    <w:p>
      <w:pPr>
        <w:spacing w:line="360" w:lineRule="auto"/>
        <w:ind w:firstLine="480" w:firstLineChars="200"/>
        <w:rPr>
          <w:sz w:val="24"/>
          <w:szCs w:val="24"/>
        </w:rPr>
      </w:pPr>
      <w:r>
        <w:rPr>
          <w:rFonts w:hint="eastAsia"/>
          <w:sz w:val="24"/>
          <w:szCs w:val="24"/>
        </w:rPr>
        <w:t xml:space="preserve">2.4 </w:t>
      </w:r>
      <w:r>
        <w:rPr>
          <w:rFonts w:hint="eastAsia"/>
          <w:sz w:val="24"/>
          <w:szCs w:val="24"/>
          <w:lang w:eastAsia="zh-CN"/>
        </w:rPr>
        <w:t>天地基金会</w:t>
      </w:r>
      <w:r>
        <w:rPr>
          <w:rFonts w:hint="eastAsia"/>
          <w:sz w:val="24"/>
          <w:szCs w:val="24"/>
        </w:rPr>
        <w:t>理事会换届和更换法定代表人之前，应当进行财务审计。</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 预算管理</w:t>
      </w:r>
    </w:p>
    <w:p>
      <w:pPr>
        <w:spacing w:line="360" w:lineRule="auto"/>
        <w:ind w:firstLine="480" w:firstLineChars="200"/>
        <w:rPr>
          <w:sz w:val="24"/>
          <w:szCs w:val="24"/>
        </w:rPr>
      </w:pPr>
      <w:r>
        <w:rPr>
          <w:rFonts w:hint="eastAsia"/>
          <w:sz w:val="24"/>
          <w:szCs w:val="24"/>
        </w:rPr>
        <w:t xml:space="preserve">3.1 </w:t>
      </w:r>
      <w:r>
        <w:rPr>
          <w:rFonts w:hint="eastAsia"/>
          <w:sz w:val="24"/>
          <w:szCs w:val="24"/>
          <w:lang w:eastAsia="zh-CN"/>
        </w:rPr>
        <w:t>天地基金会</w:t>
      </w:r>
      <w:r>
        <w:rPr>
          <w:rFonts w:hint="eastAsia"/>
          <w:sz w:val="24"/>
          <w:szCs w:val="24"/>
        </w:rPr>
        <w:t>根据机构发展战略，按照年度工作计划和任务，本着资源统筹规划、保障工作重点、收入支出协调的原则，坚持勤俭办事的方针，编制年度财务预算。</w:t>
      </w:r>
    </w:p>
    <w:p>
      <w:pPr>
        <w:spacing w:line="360" w:lineRule="auto"/>
        <w:ind w:firstLine="480" w:firstLineChars="200"/>
        <w:rPr>
          <w:sz w:val="24"/>
          <w:szCs w:val="24"/>
        </w:rPr>
      </w:pPr>
      <w:r>
        <w:rPr>
          <w:rFonts w:hint="eastAsia"/>
          <w:sz w:val="24"/>
          <w:szCs w:val="24"/>
        </w:rPr>
        <w:t>3.2 预算管理的基本原则</w:t>
      </w:r>
    </w:p>
    <w:p>
      <w:pPr>
        <w:spacing w:line="360" w:lineRule="auto"/>
        <w:ind w:firstLine="480" w:firstLineChars="200"/>
        <w:rPr>
          <w:sz w:val="24"/>
          <w:szCs w:val="24"/>
        </w:rPr>
      </w:pPr>
      <w:r>
        <w:rPr>
          <w:rFonts w:hint="eastAsia"/>
          <w:sz w:val="24"/>
          <w:szCs w:val="24"/>
        </w:rPr>
        <w:t>（一）坚持客观、公正、科学的原则；</w:t>
      </w:r>
    </w:p>
    <w:p>
      <w:pPr>
        <w:spacing w:line="360" w:lineRule="auto"/>
        <w:ind w:firstLine="480" w:firstLineChars="200"/>
        <w:rPr>
          <w:sz w:val="24"/>
          <w:szCs w:val="24"/>
        </w:rPr>
      </w:pPr>
      <w:r>
        <w:rPr>
          <w:rFonts w:hint="eastAsia"/>
          <w:sz w:val="24"/>
          <w:szCs w:val="24"/>
        </w:rPr>
        <w:t>（二）规范、细化原则。预算编制要明细到要素的支出细目；</w:t>
      </w:r>
    </w:p>
    <w:p>
      <w:pPr>
        <w:spacing w:line="360" w:lineRule="auto"/>
        <w:ind w:firstLine="480" w:firstLineChars="200"/>
        <w:rPr>
          <w:sz w:val="24"/>
          <w:szCs w:val="24"/>
        </w:rPr>
      </w:pPr>
      <w:r>
        <w:rPr>
          <w:rFonts w:hint="eastAsia"/>
          <w:sz w:val="24"/>
          <w:szCs w:val="24"/>
        </w:rPr>
        <w:t>（三）完整性原则。预算的申报、评审、监督、决算，实行完整的流程管理；</w:t>
      </w:r>
    </w:p>
    <w:p>
      <w:pPr>
        <w:spacing w:line="360" w:lineRule="auto"/>
        <w:ind w:firstLine="480" w:firstLineChars="200"/>
        <w:rPr>
          <w:sz w:val="24"/>
          <w:szCs w:val="24"/>
        </w:rPr>
      </w:pPr>
      <w:r>
        <w:rPr>
          <w:rFonts w:hint="eastAsia"/>
          <w:sz w:val="24"/>
          <w:szCs w:val="24"/>
        </w:rPr>
        <w:t>（四）科学论证、合理排序的原则。申报的预算应当进行充分的可行性论证和严格审核，分轻重缓急合理排序后视当年财力状况择优进行安排。</w:t>
      </w:r>
    </w:p>
    <w:p>
      <w:pPr>
        <w:spacing w:line="360" w:lineRule="auto"/>
        <w:ind w:firstLine="480" w:firstLineChars="200"/>
        <w:rPr>
          <w:sz w:val="24"/>
          <w:szCs w:val="24"/>
        </w:rPr>
      </w:pPr>
      <w:r>
        <w:rPr>
          <w:rFonts w:hint="eastAsia"/>
          <w:sz w:val="24"/>
          <w:szCs w:val="24"/>
        </w:rPr>
        <w:t>3.3 各管理部门根据年度工作计划，编制各项目的“收入”、“业务活动成本”、“管理费用”等预算初稿，经秘书长审核后，形成年度财务总预算。财务总预算经理事会审议批准后执行。</w:t>
      </w:r>
    </w:p>
    <w:p>
      <w:pPr>
        <w:spacing w:line="360" w:lineRule="auto"/>
        <w:ind w:firstLine="480" w:firstLineChars="200"/>
        <w:rPr>
          <w:sz w:val="24"/>
          <w:szCs w:val="24"/>
        </w:rPr>
      </w:pPr>
      <w:r>
        <w:rPr>
          <w:rFonts w:hint="eastAsia"/>
          <w:sz w:val="24"/>
          <w:szCs w:val="24"/>
        </w:rPr>
        <w:t>3.4 各管理部门在编制年度预算时，收入预算参考上年预算执行情况及业务发展计划合理预测制定，业务活动成本和管理费用根据项目特点和工作计划本着量入为出、厉行节约的原则，按机构费用标准或工作量测算编制。</w:t>
      </w:r>
    </w:p>
    <w:p>
      <w:pPr>
        <w:spacing w:line="360" w:lineRule="auto"/>
        <w:ind w:firstLine="480" w:firstLineChars="200"/>
        <w:rPr>
          <w:sz w:val="24"/>
          <w:szCs w:val="24"/>
        </w:rPr>
      </w:pPr>
      <w:r>
        <w:rPr>
          <w:rFonts w:hint="eastAsia"/>
          <w:sz w:val="24"/>
          <w:szCs w:val="24"/>
        </w:rPr>
        <w:t>3.5 各管理部门须严格执行财务预算，除因工作计划、工作内容有较大调整，或者人员发生较大变化，需要通过预算调整程序核准新的预算外，一般不予以调整。在年内季末和年末，财务管理部门应总结、分析预算执行情况及存在的问题，提出改进意见，报秘书长或理事会。预算执行情况纳入各管理部门的业绩考核。</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 收入管理</w:t>
      </w:r>
    </w:p>
    <w:p>
      <w:pPr>
        <w:spacing w:line="360" w:lineRule="auto"/>
        <w:ind w:firstLine="480" w:firstLineChars="200"/>
        <w:rPr>
          <w:sz w:val="24"/>
          <w:szCs w:val="24"/>
        </w:rPr>
      </w:pPr>
      <w:r>
        <w:rPr>
          <w:rFonts w:hint="eastAsia"/>
          <w:sz w:val="24"/>
          <w:szCs w:val="24"/>
        </w:rPr>
        <w:t>4.1 分类核算捐赠收入与捐赠以外其他收入。</w:t>
      </w:r>
    </w:p>
    <w:p>
      <w:pPr>
        <w:spacing w:line="360" w:lineRule="auto"/>
        <w:ind w:firstLine="480" w:firstLineChars="200"/>
        <w:rPr>
          <w:sz w:val="24"/>
          <w:szCs w:val="24"/>
        </w:rPr>
      </w:pPr>
      <w:r>
        <w:rPr>
          <w:rFonts w:hint="eastAsia"/>
          <w:sz w:val="24"/>
          <w:szCs w:val="24"/>
        </w:rPr>
        <w:t>4.2 根据各项收入性质严格划分限定性收入和非限定性收入，各项收入均纳入年度总预算统筹计划。</w:t>
      </w:r>
    </w:p>
    <w:p>
      <w:pPr>
        <w:spacing w:line="360" w:lineRule="auto"/>
        <w:ind w:firstLine="480" w:firstLineChars="200"/>
        <w:rPr>
          <w:sz w:val="24"/>
          <w:szCs w:val="24"/>
        </w:rPr>
      </w:pPr>
      <w:r>
        <w:rPr>
          <w:rFonts w:hint="eastAsia"/>
          <w:sz w:val="24"/>
          <w:szCs w:val="24"/>
        </w:rPr>
        <w:t>4.3 各项收入均归口由财务管理部门统一管理和核算，严格各类票据的使用和签发，严格捐赠票据及其他票据的使用和签发。</w:t>
      </w:r>
    </w:p>
    <w:p>
      <w:pPr>
        <w:spacing w:line="360" w:lineRule="auto"/>
        <w:ind w:firstLine="480" w:firstLineChars="200"/>
        <w:rPr>
          <w:sz w:val="24"/>
          <w:szCs w:val="24"/>
        </w:rPr>
      </w:pPr>
      <w:r>
        <w:rPr>
          <w:rFonts w:hint="eastAsia"/>
          <w:sz w:val="24"/>
          <w:szCs w:val="24"/>
        </w:rPr>
        <w:t>4.4 基金会适时向社会公布募得捐款的数量，公开基金会开展公益活动和善款的详细使用结果，接受国家有关部门、社会组织、媒体和捐助者本人的查询、监督和审计。</w:t>
      </w:r>
    </w:p>
    <w:p>
      <w:pPr>
        <w:spacing w:line="360" w:lineRule="auto"/>
        <w:ind w:firstLine="480" w:firstLineChars="200"/>
        <w:rPr>
          <w:sz w:val="24"/>
          <w:szCs w:val="24"/>
        </w:rPr>
      </w:pPr>
      <w:r>
        <w:rPr>
          <w:rFonts w:hint="eastAsia"/>
          <w:sz w:val="24"/>
          <w:szCs w:val="24"/>
        </w:rPr>
        <w:t>4.5 基金会每年用于从事章程规定的公益事业支出，不低于上年基金余额的8%；基金会工作人员工资福利和行政办公支出，不得超过当年总支出的10%或不超过20万元人民币。</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 支出管理</w:t>
      </w:r>
    </w:p>
    <w:p>
      <w:pPr>
        <w:spacing w:line="360" w:lineRule="auto"/>
        <w:ind w:firstLine="480" w:firstLineChars="200"/>
        <w:rPr>
          <w:sz w:val="24"/>
          <w:szCs w:val="24"/>
        </w:rPr>
      </w:pPr>
      <w:r>
        <w:rPr>
          <w:rFonts w:hint="eastAsia"/>
          <w:sz w:val="24"/>
          <w:szCs w:val="24"/>
        </w:rPr>
        <w:t>5.1 各项支出的安排必须有利于公益事业发展，必须贯彻厉行节约和量力而行的原则，严格遵守各项财政、财务制度和财经纪律。</w:t>
      </w:r>
    </w:p>
    <w:p>
      <w:pPr>
        <w:spacing w:line="360" w:lineRule="auto"/>
        <w:ind w:firstLine="480" w:firstLineChars="200"/>
        <w:rPr>
          <w:sz w:val="24"/>
          <w:szCs w:val="24"/>
        </w:rPr>
      </w:pPr>
      <w:r>
        <w:rPr>
          <w:rFonts w:hint="eastAsia"/>
          <w:sz w:val="24"/>
          <w:szCs w:val="24"/>
        </w:rPr>
        <w:t>5.2 按照理事会批准的年度预算和规定的开支范围、标准执行资助支出和费用支出，并严格按照捐赠协议安排资助计划；建立健全各项支出管理和审批制度。</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6. 成本（费用）管理</w:t>
      </w:r>
    </w:p>
    <w:p>
      <w:pPr>
        <w:spacing w:line="360" w:lineRule="auto"/>
        <w:ind w:firstLine="480" w:firstLineChars="200"/>
        <w:rPr>
          <w:sz w:val="24"/>
          <w:szCs w:val="24"/>
        </w:rPr>
      </w:pPr>
      <w:r>
        <w:rPr>
          <w:rFonts w:hint="eastAsia"/>
          <w:sz w:val="24"/>
          <w:szCs w:val="24"/>
        </w:rPr>
        <w:t>6.1 成本核算的基本任务是反映项目管理、执行和服务过程的各项耗费，并结合预测、计划、控制、分析和考核，合理安排使用人力、物力、财力，降低成本（费用），改善项目管理，为公益事业发展建立良好的基础。</w:t>
      </w:r>
    </w:p>
    <w:p>
      <w:pPr>
        <w:spacing w:line="360" w:lineRule="auto"/>
        <w:ind w:firstLine="480" w:firstLineChars="200"/>
        <w:rPr>
          <w:sz w:val="24"/>
          <w:szCs w:val="24"/>
        </w:rPr>
      </w:pPr>
      <w:r>
        <w:rPr>
          <w:rFonts w:hint="eastAsia"/>
          <w:sz w:val="24"/>
          <w:szCs w:val="24"/>
        </w:rPr>
        <w:t>6.2 成本（费用）一般包括项目资助成本、项目服务成本、管理费用。机构根据《民间非营利会计制度》制定相应的成本费用核算办法，建立和健全项目成本（费用）核算制度。</w:t>
      </w:r>
    </w:p>
    <w:p>
      <w:pPr>
        <w:spacing w:line="360" w:lineRule="auto"/>
        <w:ind w:firstLine="480" w:firstLineChars="200"/>
        <w:rPr>
          <w:sz w:val="24"/>
          <w:szCs w:val="24"/>
        </w:rPr>
      </w:pPr>
      <w:r>
        <w:rPr>
          <w:rFonts w:hint="eastAsia"/>
          <w:sz w:val="24"/>
          <w:szCs w:val="24"/>
        </w:rPr>
        <w:t>6.3 有关成本（费用）核算的原始记录、凭证、账、费用汇总和分配表等资料，内容必须完整、真实，记载和编制必须及时，必须如实反映项目在管理和服务过程中的各种耗费。</w:t>
      </w:r>
    </w:p>
    <w:p>
      <w:pPr>
        <w:spacing w:line="360" w:lineRule="auto"/>
        <w:ind w:firstLine="480" w:firstLineChars="200"/>
        <w:rPr>
          <w:sz w:val="24"/>
          <w:szCs w:val="24"/>
        </w:rPr>
      </w:pPr>
      <w:r>
        <w:rPr>
          <w:rFonts w:hint="eastAsia"/>
          <w:sz w:val="24"/>
          <w:szCs w:val="24"/>
        </w:rPr>
        <w:t xml:space="preserve">6.4 因项目策划、信息沟通、捐赠服务及捐款筹集等，需向捐赠人提供项目或活动成本估算，由财务部门与相关项目管理部门负责。在提交成本估算前，应经秘书长批准。项目成本（费用）估算，按照成本核算的原则和方法进行，必须提供可靠的人力、物资、费用支出的估算依据。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7. 现金管理</w:t>
      </w:r>
    </w:p>
    <w:p>
      <w:pPr>
        <w:spacing w:line="360" w:lineRule="auto"/>
        <w:ind w:firstLine="480" w:firstLineChars="200"/>
        <w:rPr>
          <w:sz w:val="24"/>
          <w:szCs w:val="24"/>
        </w:rPr>
      </w:pPr>
      <w:r>
        <w:rPr>
          <w:rFonts w:hint="eastAsia"/>
          <w:sz w:val="24"/>
          <w:szCs w:val="24"/>
        </w:rPr>
        <w:t>7.1 现金开支范围与标准</w:t>
      </w:r>
    </w:p>
    <w:p>
      <w:pPr>
        <w:spacing w:line="360" w:lineRule="auto"/>
        <w:ind w:firstLine="480" w:firstLineChars="200"/>
        <w:rPr>
          <w:sz w:val="24"/>
          <w:szCs w:val="24"/>
        </w:rPr>
      </w:pPr>
      <w:r>
        <w:rPr>
          <w:rFonts w:hint="eastAsia"/>
          <w:sz w:val="24"/>
          <w:szCs w:val="24"/>
        </w:rPr>
        <w:t>7.1.1 现金开支包括：</w:t>
      </w:r>
    </w:p>
    <w:p>
      <w:pPr>
        <w:spacing w:line="360" w:lineRule="auto"/>
        <w:ind w:firstLine="480" w:firstLineChars="200"/>
        <w:rPr>
          <w:sz w:val="24"/>
          <w:szCs w:val="24"/>
        </w:rPr>
      </w:pPr>
      <w:r>
        <w:rPr>
          <w:rFonts w:hint="eastAsia"/>
          <w:sz w:val="24"/>
          <w:szCs w:val="24"/>
        </w:rPr>
        <w:t>（一）职工工资、津贴、奖金、劳务、志愿者补贴等人力支出；</w:t>
      </w:r>
    </w:p>
    <w:p>
      <w:pPr>
        <w:spacing w:line="360" w:lineRule="auto"/>
        <w:ind w:firstLine="480" w:firstLineChars="200"/>
        <w:rPr>
          <w:sz w:val="24"/>
          <w:szCs w:val="24"/>
        </w:rPr>
      </w:pPr>
      <w:r>
        <w:rPr>
          <w:rFonts w:hint="eastAsia"/>
          <w:sz w:val="24"/>
          <w:szCs w:val="24"/>
        </w:rPr>
        <w:t>（二）因公出差必带的差旅费借支；</w:t>
      </w:r>
    </w:p>
    <w:p>
      <w:pPr>
        <w:spacing w:line="360" w:lineRule="auto"/>
        <w:ind w:firstLine="480" w:firstLineChars="200"/>
        <w:rPr>
          <w:sz w:val="24"/>
          <w:szCs w:val="24"/>
        </w:rPr>
      </w:pPr>
      <w:r>
        <w:rPr>
          <w:rFonts w:hint="eastAsia"/>
          <w:sz w:val="24"/>
          <w:szCs w:val="24"/>
        </w:rPr>
        <w:t>（三）日常办公、办公用品购买不能以支票支付的开支；</w:t>
      </w:r>
    </w:p>
    <w:p>
      <w:pPr>
        <w:spacing w:line="360" w:lineRule="auto"/>
        <w:ind w:firstLine="480" w:firstLineChars="200"/>
        <w:rPr>
          <w:sz w:val="24"/>
          <w:szCs w:val="24"/>
        </w:rPr>
      </w:pPr>
      <w:r>
        <w:rPr>
          <w:rFonts w:hint="eastAsia"/>
          <w:sz w:val="24"/>
          <w:szCs w:val="24"/>
        </w:rPr>
        <w:t>（四）理事长批准的其他现金开支。</w:t>
      </w:r>
    </w:p>
    <w:p>
      <w:pPr>
        <w:spacing w:line="360" w:lineRule="auto"/>
        <w:ind w:firstLine="480" w:firstLineChars="200"/>
        <w:rPr>
          <w:sz w:val="24"/>
          <w:szCs w:val="24"/>
        </w:rPr>
      </w:pPr>
      <w:r>
        <w:rPr>
          <w:rFonts w:hint="eastAsia"/>
          <w:sz w:val="24"/>
          <w:szCs w:val="24"/>
        </w:rPr>
        <w:t>7.1.2现金开支标准：凡基金会已制定了开支标准，按基金会标准执行；基金会没有制定开支标准，按国家相关标准执行。</w:t>
      </w:r>
    </w:p>
    <w:p>
      <w:pPr>
        <w:spacing w:line="360" w:lineRule="auto"/>
        <w:ind w:firstLine="480" w:firstLineChars="200"/>
        <w:rPr>
          <w:sz w:val="24"/>
          <w:szCs w:val="24"/>
        </w:rPr>
      </w:pPr>
      <w:r>
        <w:rPr>
          <w:rFonts w:hint="eastAsia"/>
          <w:sz w:val="24"/>
          <w:szCs w:val="24"/>
        </w:rPr>
        <w:t>7.2 现金借款必须遵循以下程序：</w:t>
      </w:r>
    </w:p>
    <w:p>
      <w:pPr>
        <w:spacing w:line="360" w:lineRule="auto"/>
        <w:ind w:firstLine="480" w:firstLineChars="200"/>
        <w:rPr>
          <w:sz w:val="24"/>
          <w:szCs w:val="24"/>
        </w:rPr>
      </w:pPr>
      <w:r>
        <w:rPr>
          <w:rFonts w:hint="eastAsia"/>
          <w:sz w:val="24"/>
          <w:szCs w:val="24"/>
        </w:rPr>
        <w:t>7.2.1 填写借款单。借款人要注明借款事由及借款数额；</w:t>
      </w:r>
    </w:p>
    <w:p>
      <w:pPr>
        <w:spacing w:line="360" w:lineRule="auto"/>
        <w:ind w:firstLine="480" w:firstLineChars="200"/>
        <w:rPr>
          <w:sz w:val="24"/>
          <w:szCs w:val="24"/>
        </w:rPr>
      </w:pPr>
      <w:r>
        <w:rPr>
          <w:rFonts w:hint="eastAsia"/>
          <w:sz w:val="24"/>
          <w:szCs w:val="24"/>
        </w:rPr>
        <w:t>7.2.2领导审批。借款单先由借款人经部门主管签字批准，财务主管审核，再由秘书长审批签字；</w:t>
      </w:r>
    </w:p>
    <w:p>
      <w:pPr>
        <w:spacing w:line="360" w:lineRule="auto"/>
        <w:ind w:firstLine="480" w:firstLineChars="200"/>
        <w:rPr>
          <w:sz w:val="24"/>
          <w:szCs w:val="24"/>
        </w:rPr>
      </w:pPr>
      <w:r>
        <w:rPr>
          <w:rFonts w:hint="eastAsia"/>
          <w:sz w:val="24"/>
          <w:szCs w:val="24"/>
        </w:rPr>
        <w:t>7.2.3借款人执现金借款审批单到财务办理借款手续。对于2000元以上的现金借支，借款人须提前2个工作日告知财务。</w:t>
      </w:r>
    </w:p>
    <w:p>
      <w:pPr>
        <w:spacing w:line="360" w:lineRule="auto"/>
        <w:ind w:firstLine="480" w:firstLineChars="200"/>
        <w:rPr>
          <w:sz w:val="24"/>
          <w:szCs w:val="24"/>
        </w:rPr>
      </w:pPr>
      <w:r>
        <w:rPr>
          <w:rFonts w:hint="eastAsia"/>
          <w:sz w:val="24"/>
          <w:szCs w:val="24"/>
        </w:rPr>
        <w:t>7.3 现金报销必须遵循以下程序：</w:t>
      </w:r>
    </w:p>
    <w:p>
      <w:pPr>
        <w:spacing w:line="360" w:lineRule="auto"/>
        <w:ind w:firstLine="480" w:firstLineChars="200"/>
        <w:rPr>
          <w:sz w:val="24"/>
          <w:szCs w:val="24"/>
        </w:rPr>
      </w:pPr>
      <w:r>
        <w:rPr>
          <w:rFonts w:hint="eastAsia"/>
          <w:sz w:val="24"/>
          <w:szCs w:val="24"/>
        </w:rPr>
        <w:t>7.3.1限期报销。因公借款，必须在公务完成后一周内办理报销手续；</w:t>
      </w:r>
    </w:p>
    <w:p>
      <w:pPr>
        <w:spacing w:line="360" w:lineRule="auto"/>
        <w:ind w:firstLine="480" w:firstLineChars="200"/>
        <w:rPr>
          <w:sz w:val="24"/>
          <w:szCs w:val="24"/>
        </w:rPr>
      </w:pPr>
      <w:r>
        <w:rPr>
          <w:rFonts w:hint="eastAsia"/>
          <w:sz w:val="24"/>
          <w:szCs w:val="24"/>
        </w:rPr>
        <w:t>7.3.2填写凭单。借款人将用于报销的发票粘贴于报销凭证单上。用碳素笔整齐地写明金额、用途、本人签名，不得他人代签。原始凭证不许涂改；报销的发票中，大写小写金额要一致；发票中报销单位名称有误或印章模糊不清均视为无效发票；收据和往来票证不能作为报销凭证，一律不予报销；</w:t>
      </w:r>
    </w:p>
    <w:p>
      <w:pPr>
        <w:spacing w:line="360" w:lineRule="auto"/>
        <w:ind w:firstLine="480" w:firstLineChars="200"/>
        <w:rPr>
          <w:sz w:val="24"/>
          <w:szCs w:val="24"/>
        </w:rPr>
      </w:pPr>
      <w:r>
        <w:rPr>
          <w:rFonts w:hint="eastAsia"/>
          <w:sz w:val="24"/>
          <w:szCs w:val="24"/>
        </w:rPr>
        <w:t>7.3.3领导审批。借款人执报销凭单，先经部门主管与财务人员审核，再由秘书长审批后方可报销。</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8. 支票管理</w:t>
      </w:r>
    </w:p>
    <w:p>
      <w:pPr>
        <w:spacing w:line="360" w:lineRule="auto"/>
        <w:ind w:firstLine="480" w:firstLineChars="200"/>
        <w:rPr>
          <w:sz w:val="24"/>
          <w:szCs w:val="24"/>
        </w:rPr>
      </w:pPr>
      <w:r>
        <w:rPr>
          <w:rFonts w:hint="eastAsia"/>
          <w:sz w:val="24"/>
          <w:szCs w:val="24"/>
        </w:rPr>
        <w:t>8.1借款领取支票必须遵循以下程序：</w:t>
      </w:r>
    </w:p>
    <w:p>
      <w:pPr>
        <w:spacing w:line="360" w:lineRule="auto"/>
        <w:ind w:firstLine="480" w:firstLineChars="200"/>
        <w:rPr>
          <w:sz w:val="24"/>
          <w:szCs w:val="24"/>
        </w:rPr>
      </w:pPr>
      <w:r>
        <w:rPr>
          <w:rFonts w:hint="eastAsia"/>
          <w:sz w:val="24"/>
          <w:szCs w:val="24"/>
        </w:rPr>
        <w:t>8.1.1借款人须填写支票领用单，逐项认真填写。经部门主管签字，由财务主管审核，再由秘书长审批签字；</w:t>
      </w:r>
    </w:p>
    <w:p>
      <w:pPr>
        <w:spacing w:line="360" w:lineRule="auto"/>
        <w:ind w:firstLine="480" w:firstLineChars="200"/>
        <w:rPr>
          <w:sz w:val="24"/>
          <w:szCs w:val="24"/>
        </w:rPr>
      </w:pPr>
      <w:r>
        <w:rPr>
          <w:rFonts w:hint="eastAsia"/>
          <w:sz w:val="24"/>
          <w:szCs w:val="24"/>
        </w:rPr>
        <w:t>8.1.2财务人员核实支票领用单后，按支票票面项目填写，须经秘书长批准后方可签发；</w:t>
      </w:r>
    </w:p>
    <w:p>
      <w:pPr>
        <w:spacing w:line="360" w:lineRule="auto"/>
        <w:ind w:firstLine="480" w:firstLineChars="200"/>
        <w:rPr>
          <w:sz w:val="24"/>
          <w:szCs w:val="24"/>
        </w:rPr>
      </w:pPr>
      <w:r>
        <w:rPr>
          <w:rFonts w:hint="eastAsia"/>
          <w:sz w:val="24"/>
          <w:szCs w:val="24"/>
        </w:rPr>
        <w:t>8.1.3领取支票者在支票领取薄上登记并签字。</w:t>
      </w:r>
    </w:p>
    <w:p>
      <w:pPr>
        <w:spacing w:line="360" w:lineRule="auto"/>
        <w:ind w:firstLine="480" w:firstLineChars="200"/>
        <w:rPr>
          <w:sz w:val="24"/>
          <w:szCs w:val="24"/>
        </w:rPr>
      </w:pPr>
      <w:r>
        <w:rPr>
          <w:rFonts w:hint="eastAsia"/>
          <w:sz w:val="24"/>
          <w:szCs w:val="24"/>
        </w:rPr>
        <w:t>8.2经办人员在借领支票后，务必在10日内报账。每年12月20日前，已借领的支票必须全部报账，并停止签发新领支票。</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9. 物资管理</w:t>
      </w:r>
    </w:p>
    <w:p>
      <w:pPr>
        <w:spacing w:line="360" w:lineRule="auto"/>
        <w:ind w:firstLine="480" w:firstLineChars="200"/>
        <w:rPr>
          <w:sz w:val="24"/>
          <w:szCs w:val="24"/>
        </w:rPr>
      </w:pPr>
      <w:r>
        <w:rPr>
          <w:rFonts w:hint="eastAsia"/>
          <w:sz w:val="24"/>
          <w:szCs w:val="24"/>
        </w:rPr>
        <w:t>9.1物资是资金的实物形态之一。物资管理要贯彻统一领导、归口管理的原则，既要保证公益事业发展的需要，又要防止财产物资的积压和损失浪费，最大限度地发挥财产物资的效益。</w:t>
      </w:r>
    </w:p>
    <w:p>
      <w:pPr>
        <w:spacing w:line="360" w:lineRule="auto"/>
        <w:ind w:firstLine="480" w:firstLineChars="200"/>
        <w:rPr>
          <w:sz w:val="24"/>
          <w:szCs w:val="24"/>
        </w:rPr>
      </w:pPr>
      <w:r>
        <w:rPr>
          <w:rFonts w:hint="eastAsia"/>
          <w:sz w:val="24"/>
          <w:szCs w:val="24"/>
        </w:rPr>
        <w:t>9.2物资管理包括：固定资产管理、捐赠物资管理和低值易耗品管理等。</w:t>
      </w:r>
    </w:p>
    <w:p>
      <w:pPr>
        <w:spacing w:line="360" w:lineRule="auto"/>
        <w:ind w:firstLine="480" w:firstLineChars="200"/>
        <w:rPr>
          <w:sz w:val="24"/>
          <w:szCs w:val="24"/>
        </w:rPr>
      </w:pPr>
      <w:r>
        <w:rPr>
          <w:rFonts w:hint="eastAsia"/>
          <w:sz w:val="24"/>
          <w:szCs w:val="24"/>
        </w:rPr>
        <w:t>9.3固定资产管理</w:t>
      </w:r>
      <w:r>
        <w:rPr>
          <w:rFonts w:hint="eastAsia"/>
          <w:sz w:val="24"/>
          <w:szCs w:val="24"/>
          <w:lang w:eastAsia="zh-CN"/>
        </w:rPr>
        <w:t>：</w:t>
      </w:r>
      <w:r>
        <w:rPr>
          <w:rFonts w:hint="eastAsia"/>
          <w:sz w:val="24"/>
          <w:szCs w:val="24"/>
        </w:rPr>
        <w:t>固定资产是用于机构业务活动，单位价值在规定标准2000元以上、耐用时间在一年以上的办公设备或其他设施；单位价值虽未达到规定标准，但耐用时间在一年以上的大批同类物资，也应作为固定资产管理；单位价值虽已超过规定标准，但易损坏，更换频繁的，不作为固定资产管理。具体管理办法如下：</w:t>
      </w:r>
    </w:p>
    <w:p>
      <w:pPr>
        <w:spacing w:line="360" w:lineRule="auto"/>
        <w:ind w:firstLine="480" w:firstLineChars="200"/>
        <w:rPr>
          <w:sz w:val="24"/>
          <w:szCs w:val="24"/>
        </w:rPr>
      </w:pPr>
      <w:r>
        <w:rPr>
          <w:rFonts w:hint="eastAsia"/>
          <w:sz w:val="24"/>
          <w:szCs w:val="24"/>
        </w:rPr>
        <w:t>9.3.1固定资产按用途分类管理，并建立验收、领发、保管、调拨、登记、折旧、检查和维修制度，做到账账相符，账实相符。</w:t>
      </w:r>
    </w:p>
    <w:p>
      <w:pPr>
        <w:spacing w:line="360" w:lineRule="auto"/>
        <w:ind w:firstLine="480" w:firstLineChars="200"/>
        <w:rPr>
          <w:sz w:val="24"/>
          <w:szCs w:val="24"/>
        </w:rPr>
      </w:pPr>
      <w:r>
        <w:rPr>
          <w:rFonts w:hint="eastAsia"/>
          <w:sz w:val="24"/>
          <w:szCs w:val="24"/>
        </w:rPr>
        <w:t>9.3.2注重发挥固定资产的效益，购（建）固定资产特别是大型房产等，必须进行可行性论证，提出两种以上方案，择优选用。</w:t>
      </w:r>
    </w:p>
    <w:p>
      <w:pPr>
        <w:spacing w:line="360" w:lineRule="auto"/>
        <w:ind w:firstLine="480" w:firstLineChars="200"/>
        <w:rPr>
          <w:sz w:val="24"/>
          <w:szCs w:val="24"/>
        </w:rPr>
      </w:pPr>
      <w:r>
        <w:rPr>
          <w:rFonts w:hint="eastAsia"/>
          <w:sz w:val="24"/>
          <w:szCs w:val="24"/>
        </w:rPr>
        <w:t>9.3.3加强对固定资产报废、处理的管理，确属不能或不宜使用的固定资产，可以作报废处理；确属闲置不需要的固定资产，应按规定的程序处理，避免积压，造成损失浪费。</w:t>
      </w:r>
    </w:p>
    <w:p>
      <w:pPr>
        <w:spacing w:line="360" w:lineRule="auto"/>
        <w:ind w:firstLine="480" w:firstLineChars="200"/>
        <w:rPr>
          <w:sz w:val="24"/>
          <w:szCs w:val="24"/>
        </w:rPr>
      </w:pPr>
      <w:r>
        <w:rPr>
          <w:rFonts w:hint="eastAsia"/>
          <w:sz w:val="24"/>
          <w:szCs w:val="24"/>
        </w:rPr>
        <w:t>9.4低值易耗品管理。低值易耗品是指单位价值较低、容易损耗、不够固定资产标准的各种工器具以及办公用品等。低值易耗品的购买、验收、进出库、保管等须审批程序规范，管理控制科学。在保证工作需要的前提下，降低材料和低值易耗品的库存和消耗。</w:t>
      </w:r>
    </w:p>
    <w:p>
      <w:pPr>
        <w:spacing w:line="360" w:lineRule="auto"/>
        <w:ind w:firstLine="480" w:firstLineChars="200"/>
        <w:rPr>
          <w:sz w:val="24"/>
          <w:szCs w:val="24"/>
        </w:rPr>
      </w:pPr>
      <w:r>
        <w:rPr>
          <w:rFonts w:hint="eastAsia"/>
          <w:sz w:val="24"/>
          <w:szCs w:val="24"/>
        </w:rPr>
        <w:t>9.5捐赠物资的管理。捐赠物资是募集到的各类捐赠实物。捐赠物资按照捐赠人的捐赠指向分类管理，并严格验收、进出库、保管等管理制度。捐赠物资严格按捐赠人的意愿划拨、使用；在接受捐赠的物资无法用于符合其宗旨的用途时，可以依法拍卖或者变卖，所得收入用于捐赠目的。</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10. 投资管理</w:t>
      </w:r>
    </w:p>
    <w:p>
      <w:pPr>
        <w:spacing w:line="360" w:lineRule="auto"/>
        <w:ind w:firstLine="480" w:firstLineChars="200"/>
        <w:rPr>
          <w:sz w:val="24"/>
        </w:rPr>
      </w:pPr>
      <w:r>
        <w:rPr>
          <w:rFonts w:hint="eastAsia"/>
          <w:sz w:val="24"/>
          <w:szCs w:val="24"/>
        </w:rPr>
        <w:t>10.1</w:t>
      </w:r>
      <w:r>
        <w:rPr>
          <w:rFonts w:hint="eastAsia"/>
          <w:sz w:val="24"/>
        </w:rPr>
        <w:t>本基金会可以用于投资的财产限于非限定性资产和在投资期间暂不需要拨付的限定性资产；</w:t>
      </w:r>
    </w:p>
    <w:p>
      <w:pPr>
        <w:spacing w:line="360" w:lineRule="auto"/>
        <w:ind w:firstLine="480" w:firstLineChars="200"/>
        <w:rPr>
          <w:sz w:val="24"/>
          <w:szCs w:val="24"/>
        </w:rPr>
      </w:pPr>
      <w:r>
        <w:rPr>
          <w:rFonts w:hint="eastAsia"/>
          <w:sz w:val="24"/>
          <w:szCs w:val="24"/>
        </w:rPr>
        <w:t>10.2本基金会财务投资必须与财务人员商议，财务人员给予建议，经理事会批准后，方可执行；</w:t>
      </w:r>
    </w:p>
    <w:p>
      <w:pPr>
        <w:spacing w:line="360" w:lineRule="auto"/>
        <w:ind w:firstLine="480" w:firstLineChars="200"/>
        <w:rPr>
          <w:sz w:val="24"/>
        </w:rPr>
      </w:pPr>
      <w:r>
        <w:rPr>
          <w:rFonts w:hint="eastAsia"/>
          <w:sz w:val="24"/>
          <w:szCs w:val="24"/>
        </w:rPr>
        <w:t>10.3</w:t>
      </w:r>
      <w:r>
        <w:rPr>
          <w:rFonts w:hint="eastAsia"/>
          <w:sz w:val="24"/>
        </w:rPr>
        <w:t>本基金会低风险常规银行理财投资决定在每年年初理事会上汇报，决议通过后由秘书处按年度执行</w:t>
      </w:r>
      <w:r>
        <w:rPr>
          <w:rFonts w:hint="eastAsia"/>
          <w:sz w:val="24"/>
          <w:lang w:eastAsia="zh-CN"/>
        </w:rPr>
        <w:t>，</w:t>
      </w:r>
      <w:r>
        <w:rPr>
          <w:rFonts w:hint="eastAsia"/>
          <w:sz w:val="24"/>
        </w:rPr>
        <w:t>并且由财务管理人员进行日常管理；</w:t>
      </w:r>
    </w:p>
    <w:p>
      <w:pPr>
        <w:widowControl/>
        <w:spacing w:line="450" w:lineRule="atLeast"/>
        <w:ind w:firstLine="480"/>
        <w:rPr>
          <w:rFonts w:asciiTheme="minorEastAsia" w:hAnsiTheme="minorEastAsia"/>
          <w:sz w:val="24"/>
          <w:szCs w:val="24"/>
        </w:rPr>
      </w:pPr>
      <w:r>
        <w:rPr>
          <w:rFonts w:hint="eastAsia"/>
          <w:sz w:val="24"/>
          <w:szCs w:val="24"/>
        </w:rPr>
        <w:t>10.4</w:t>
      </w:r>
      <w:r>
        <w:rPr>
          <w:rFonts w:hint="eastAsia" w:asciiTheme="minorEastAsia" w:hAnsiTheme="minorEastAsia"/>
          <w:sz w:val="24"/>
          <w:szCs w:val="24"/>
        </w:rPr>
        <w:t>本基金会应当及时回收到期的本金和收益，依法依规及时进行会计核算；</w:t>
      </w:r>
    </w:p>
    <w:p>
      <w:pPr>
        <w:spacing w:line="360" w:lineRule="auto"/>
        <w:ind w:firstLine="480" w:firstLineChars="200"/>
        <w:rPr>
          <w:rFonts w:hint="eastAsia"/>
          <w:sz w:val="24"/>
        </w:rPr>
      </w:pPr>
      <w:r>
        <w:rPr>
          <w:rFonts w:hint="eastAsia"/>
          <w:sz w:val="24"/>
        </w:rPr>
        <w:t>10.</w:t>
      </w:r>
      <w:r>
        <w:rPr>
          <w:sz w:val="24"/>
        </w:rPr>
        <w:t>5</w:t>
      </w:r>
      <w:r>
        <w:rPr>
          <w:rFonts w:hint="eastAsia"/>
          <w:sz w:val="24"/>
        </w:rPr>
        <w:t>本基金会相关投资财务管理具体执行可能照《</w:t>
      </w:r>
      <w:r>
        <w:rPr>
          <w:rFonts w:hint="eastAsia"/>
          <w:sz w:val="24"/>
          <w:lang w:eastAsia="zh-CN"/>
        </w:rPr>
        <w:t>北京天地文化发展</w:t>
      </w:r>
      <w:r>
        <w:rPr>
          <w:rFonts w:hint="eastAsia"/>
          <w:sz w:val="24"/>
        </w:rPr>
        <w:t>基金会投资管理制度》。</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11. 财务分析与财务监督</w:t>
      </w:r>
    </w:p>
    <w:p>
      <w:pPr>
        <w:spacing w:line="360" w:lineRule="auto"/>
        <w:ind w:firstLine="480" w:firstLineChars="200"/>
        <w:rPr>
          <w:sz w:val="24"/>
          <w:szCs w:val="24"/>
        </w:rPr>
      </w:pPr>
      <w:r>
        <w:rPr>
          <w:rFonts w:hint="eastAsia"/>
          <w:sz w:val="24"/>
          <w:szCs w:val="24"/>
        </w:rPr>
        <w:t>11.1财务分析与财务监督是认识、掌握财务活动规律，提高财务管理水平和资金使用效益，维护财经纪律，促进事业健康发展的重要手段。</w:t>
      </w:r>
    </w:p>
    <w:p>
      <w:pPr>
        <w:spacing w:line="360" w:lineRule="auto"/>
        <w:ind w:firstLine="480" w:firstLineChars="200"/>
        <w:rPr>
          <w:sz w:val="24"/>
          <w:szCs w:val="24"/>
        </w:rPr>
      </w:pPr>
      <w:r>
        <w:rPr>
          <w:rFonts w:hint="eastAsia"/>
          <w:sz w:val="24"/>
          <w:szCs w:val="24"/>
        </w:rPr>
        <w:t>11.2财务分析的主要内容包括：预算执行情况，资金运用情况，成本（费用）情况，财产物资的使用、管理情况等。财务管理部门应结合项目管理和服务特点，建立科学、合理的财务分析指标。通过分析，反映业务活动和经济活动的效果，并将分析结果及时反映给秘书处和理事会，为其进行决策提供科学、可靠的依据。</w:t>
      </w:r>
    </w:p>
    <w:p>
      <w:pPr>
        <w:spacing w:line="360" w:lineRule="auto"/>
        <w:ind w:firstLine="480" w:firstLineChars="200"/>
        <w:rPr>
          <w:sz w:val="24"/>
          <w:szCs w:val="24"/>
        </w:rPr>
      </w:pPr>
      <w:r>
        <w:rPr>
          <w:rFonts w:hint="eastAsia"/>
          <w:sz w:val="24"/>
          <w:szCs w:val="24"/>
        </w:rPr>
        <w:t>11.3财务管理部门要通过收支审核、财务分析等，对财务收支、资金运用、财产物资管理等情况进行监督检查。对违反国家财政、财务制度和财经纪律的行为，要及时予以制止、纠正，性质比较严重的，要向领导及有关部门报告，并按有关规定严肃处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12．财务决算</w:t>
      </w:r>
    </w:p>
    <w:p>
      <w:pPr>
        <w:spacing w:line="360" w:lineRule="auto"/>
        <w:ind w:firstLine="480" w:firstLineChars="200"/>
        <w:rPr>
          <w:sz w:val="24"/>
          <w:szCs w:val="24"/>
        </w:rPr>
      </w:pPr>
      <w:r>
        <w:rPr>
          <w:rFonts w:hint="eastAsia"/>
          <w:sz w:val="24"/>
          <w:szCs w:val="24"/>
        </w:rPr>
        <w:t>12.1年度财务决算是年度会计期间公益项目的收入及成本、资产质量、财务效益等基本情况的综合反映，是全面了解和掌握运营状况的重要手段。</w:t>
      </w:r>
    </w:p>
    <w:p>
      <w:pPr>
        <w:spacing w:line="360" w:lineRule="auto"/>
        <w:ind w:firstLine="480" w:firstLineChars="200"/>
        <w:rPr>
          <w:sz w:val="24"/>
          <w:szCs w:val="24"/>
        </w:rPr>
      </w:pPr>
      <w:r>
        <w:rPr>
          <w:rFonts w:hint="eastAsia"/>
          <w:sz w:val="24"/>
          <w:szCs w:val="24"/>
        </w:rPr>
        <w:t>12.2严格按照国家有关财务会计制度规定，在进行财产清查、债权债务确认和资产质量核实的基础上，以年度内发生的全部经济交易事项的会计账簿为基本依据，认真组织机构财务决算编制和报表工作，做到账表一致、账账一致、账证一致、账实一致。</w:t>
      </w:r>
    </w:p>
    <w:p>
      <w:pPr>
        <w:spacing w:line="360" w:lineRule="auto"/>
        <w:ind w:firstLine="480" w:firstLineChars="200"/>
        <w:rPr>
          <w:sz w:val="24"/>
          <w:szCs w:val="24"/>
        </w:rPr>
      </w:pPr>
      <w:r>
        <w:rPr>
          <w:rFonts w:hint="eastAsia"/>
          <w:sz w:val="24"/>
          <w:szCs w:val="24"/>
        </w:rPr>
        <w:t>12.3严格按照《民间非营利组织会计制度》的规定编制财务报告，并接受独立会计师事务所的审计。</w:t>
      </w:r>
    </w:p>
    <w:p>
      <w:pPr>
        <w:spacing w:line="360" w:lineRule="auto"/>
        <w:ind w:firstLine="480" w:firstLineChars="200"/>
        <w:rPr>
          <w:sz w:val="24"/>
          <w:szCs w:val="24"/>
        </w:rPr>
      </w:pPr>
      <w:r>
        <w:rPr>
          <w:rFonts w:hint="eastAsia"/>
          <w:sz w:val="24"/>
          <w:szCs w:val="24"/>
        </w:rPr>
        <w:t>12.4机构年度财务报告对外披露须经理事会批准。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13．财务会计信息披露</w:t>
      </w:r>
    </w:p>
    <w:p>
      <w:pPr>
        <w:spacing w:line="360" w:lineRule="auto"/>
        <w:ind w:firstLine="480" w:firstLineChars="200"/>
        <w:rPr>
          <w:sz w:val="24"/>
          <w:szCs w:val="24"/>
        </w:rPr>
      </w:pPr>
      <w:r>
        <w:rPr>
          <w:rFonts w:hint="eastAsia"/>
          <w:sz w:val="24"/>
          <w:szCs w:val="24"/>
        </w:rPr>
        <w:t>13.1财务会计信息是捐赠人、管理者和理事会等机构利益相关方了解机构资源状况、负债水平、资金使用情况及现金流量等信息的重要来源。财务信息披露是建立社会公信力的重要环节，其主要形式是财务会计报告。</w:t>
      </w:r>
    </w:p>
    <w:p>
      <w:pPr>
        <w:spacing w:line="360" w:lineRule="auto"/>
        <w:ind w:firstLine="480" w:firstLineChars="200"/>
        <w:rPr>
          <w:sz w:val="24"/>
          <w:szCs w:val="24"/>
        </w:rPr>
      </w:pPr>
      <w:r>
        <w:rPr>
          <w:rFonts w:hint="eastAsia"/>
          <w:sz w:val="24"/>
          <w:szCs w:val="24"/>
        </w:rPr>
        <w:t>13.2财务会计报告由会计报表、会计报表附注和财务情况说明书构成。按照《民间非营利组织会计制度》的规定，机构会计报表包括资产负债表、业务活动表和现金流量表，同时包括会计报表附注，说明机构采用的主要会计政策、会计报表中反映的重要项目的具体说明和未在会计报表中反映的重要信息的说明等。</w:t>
      </w:r>
    </w:p>
    <w:p>
      <w:pPr>
        <w:spacing w:line="360" w:lineRule="auto"/>
        <w:ind w:firstLine="480" w:firstLineChars="200"/>
        <w:rPr>
          <w:sz w:val="24"/>
          <w:szCs w:val="24"/>
        </w:rPr>
      </w:pPr>
      <w:r>
        <w:rPr>
          <w:rFonts w:hint="eastAsia"/>
          <w:sz w:val="24"/>
          <w:szCs w:val="24"/>
        </w:rPr>
        <w:t>13.3建立定期财务信息披露制度，提供真实、及时、公允的财务会计信息；按照</w:t>
      </w:r>
      <w:r>
        <w:rPr>
          <w:rFonts w:hint="eastAsia"/>
          <w:sz w:val="24"/>
          <w:szCs w:val="24"/>
          <w:lang w:eastAsia="zh-CN"/>
        </w:rPr>
        <w:t>天地基金会</w:t>
      </w:r>
      <w:r>
        <w:rPr>
          <w:rFonts w:hint="eastAsia"/>
          <w:sz w:val="24"/>
          <w:szCs w:val="24"/>
        </w:rPr>
        <w:t>章程的规定每年在机构网站及相关媒体上公布审计报告和财务会计报告。</w:t>
      </w:r>
    </w:p>
    <w:p>
      <w:pPr>
        <w:spacing w:line="360" w:lineRule="auto"/>
        <w:ind w:firstLine="480" w:firstLineChars="200"/>
        <w:rPr>
          <w:sz w:val="24"/>
          <w:szCs w:val="24"/>
        </w:rPr>
      </w:pPr>
      <w:r>
        <w:rPr>
          <w:rFonts w:hint="eastAsia"/>
          <w:sz w:val="24"/>
          <w:szCs w:val="24"/>
        </w:rPr>
        <w:t>13.4以单一项目或捐赠人为报告主体的财务会计信息由财务管理部门负责按会计制度核算并编制，报秘书长审阅批准后，方可对外提供或披露。重大财务信息的披露必须纳入财务会计报告的内容，由财务管理部门按规定报请批准后对外披露。</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14．会计档案管理</w:t>
      </w:r>
    </w:p>
    <w:p>
      <w:pPr>
        <w:spacing w:line="360" w:lineRule="auto"/>
        <w:ind w:firstLine="480" w:firstLineChars="200"/>
        <w:rPr>
          <w:sz w:val="24"/>
          <w:szCs w:val="24"/>
        </w:rPr>
      </w:pPr>
      <w:r>
        <w:rPr>
          <w:rFonts w:hint="eastAsia"/>
          <w:sz w:val="24"/>
          <w:szCs w:val="24"/>
        </w:rPr>
        <w:t>14.1会计档案是记录和反映机构经济业务事项的重要历史资料和证据。会计档案包括会计凭证、会计账簿、财务报告以及其它会计资料。</w:t>
      </w:r>
    </w:p>
    <w:p>
      <w:pPr>
        <w:spacing w:line="360" w:lineRule="auto"/>
        <w:ind w:firstLine="480" w:firstLineChars="200"/>
        <w:rPr>
          <w:sz w:val="24"/>
          <w:szCs w:val="24"/>
        </w:rPr>
      </w:pPr>
      <w:r>
        <w:rPr>
          <w:rFonts w:hint="eastAsia"/>
          <w:sz w:val="24"/>
          <w:szCs w:val="24"/>
        </w:rPr>
        <w:t>14.2</w:t>
      </w:r>
      <w:r>
        <w:rPr>
          <w:rFonts w:hint="eastAsia"/>
          <w:sz w:val="24"/>
          <w:szCs w:val="24"/>
          <w:lang w:eastAsia="zh-CN"/>
        </w:rPr>
        <w:t>天地基金会</w:t>
      </w:r>
      <w:r>
        <w:rPr>
          <w:rFonts w:hint="eastAsia"/>
          <w:sz w:val="24"/>
          <w:szCs w:val="24"/>
        </w:rPr>
        <w:t>会计档案按照《会计档案管理制度》执行，实行专人管理。会计档案由财务部门负责整理归档。</w:t>
      </w:r>
    </w:p>
    <w:p>
      <w:pPr>
        <w:spacing w:line="360" w:lineRule="auto"/>
        <w:ind w:firstLine="480" w:firstLineChars="200"/>
        <w:rPr>
          <w:sz w:val="24"/>
          <w:szCs w:val="24"/>
        </w:rPr>
      </w:pPr>
      <w:r>
        <w:rPr>
          <w:rFonts w:hint="eastAsia"/>
          <w:sz w:val="24"/>
          <w:szCs w:val="24"/>
        </w:rPr>
        <w:t>14.3</w:t>
      </w:r>
      <w:r>
        <w:rPr>
          <w:rFonts w:hint="eastAsia"/>
          <w:sz w:val="24"/>
          <w:szCs w:val="24"/>
          <w:lang w:eastAsia="zh-CN"/>
        </w:rPr>
        <w:t>天地基金会</w:t>
      </w:r>
      <w:r>
        <w:rPr>
          <w:rFonts w:hint="eastAsia"/>
          <w:sz w:val="24"/>
          <w:szCs w:val="24"/>
        </w:rPr>
        <w:t>会计档案不得外借，遇有特殊情况，须经财务主管领导批准后，可以提供查阅或复制，并办理登记手续。</w:t>
      </w:r>
    </w:p>
    <w:p>
      <w:pPr>
        <w:spacing w:line="360" w:lineRule="auto"/>
        <w:ind w:firstLine="480" w:firstLineChars="200"/>
        <w:rPr>
          <w:sz w:val="24"/>
          <w:szCs w:val="24"/>
        </w:rPr>
      </w:pPr>
      <w:r>
        <w:rPr>
          <w:rFonts w:hint="eastAsia"/>
          <w:sz w:val="24"/>
          <w:szCs w:val="24"/>
        </w:rPr>
        <w:t>14.4销毁会计档案须按规定程序审批。对到期未了结的债权债务的原始凭证及其它未了事项的原始凭证不得销毁，单独抽出另行立卷，保管到未了事项完结时为止。</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15．审计</w:t>
      </w:r>
    </w:p>
    <w:p>
      <w:pPr>
        <w:spacing w:line="360" w:lineRule="auto"/>
        <w:ind w:firstLine="480" w:firstLineChars="200"/>
        <w:rPr>
          <w:sz w:val="24"/>
          <w:szCs w:val="24"/>
        </w:rPr>
      </w:pPr>
      <w:r>
        <w:rPr>
          <w:rFonts w:hint="eastAsia"/>
          <w:sz w:val="24"/>
          <w:szCs w:val="24"/>
        </w:rPr>
        <w:t>15.1基金会财务工作接受国家有关部门的审计。基金会根据需要，聘请具有国家规定的审计资格的机构进行审计。审计结果向主管部门呈报并向社会公布。</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16．附则</w:t>
      </w:r>
    </w:p>
    <w:p>
      <w:pPr>
        <w:spacing w:line="360" w:lineRule="auto"/>
        <w:ind w:firstLine="480" w:firstLineChars="200"/>
        <w:rPr>
          <w:sz w:val="24"/>
          <w:szCs w:val="24"/>
        </w:rPr>
      </w:pPr>
      <w:r>
        <w:rPr>
          <w:rFonts w:hint="eastAsia"/>
          <w:sz w:val="24"/>
          <w:szCs w:val="24"/>
        </w:rPr>
        <w:t>16.1本制度未涉及由投资形成的资产及其他资产，此类资产的管理制度另行制定。</w:t>
      </w:r>
    </w:p>
    <w:p>
      <w:pPr>
        <w:spacing w:line="360" w:lineRule="auto"/>
        <w:ind w:firstLine="480" w:firstLineChars="200"/>
        <w:rPr>
          <w:rFonts w:hint="eastAsia"/>
          <w:sz w:val="24"/>
          <w:szCs w:val="24"/>
        </w:rPr>
      </w:pPr>
      <w:r>
        <w:rPr>
          <w:rFonts w:hint="eastAsia"/>
          <w:sz w:val="24"/>
          <w:szCs w:val="24"/>
        </w:rPr>
        <w:t>16.2本制度由秘书长监督实施。</w:t>
      </w:r>
    </w:p>
    <w:p>
      <w:pPr>
        <w:spacing w:line="360" w:lineRule="auto"/>
        <w:ind w:firstLine="480" w:firstLineChars="200"/>
        <w:rPr>
          <w:rFonts w:hint="eastAsia"/>
          <w:sz w:val="24"/>
          <w:szCs w:val="24"/>
        </w:rPr>
      </w:pPr>
    </w:p>
    <w:p>
      <w:pPr>
        <w:spacing w:line="360" w:lineRule="auto"/>
        <w:rPr>
          <w:sz w:val="24"/>
          <w:szCs w:val="24"/>
        </w:rPr>
      </w:pPr>
    </w:p>
    <w:p>
      <w:pPr>
        <w:spacing w:line="360" w:lineRule="auto"/>
        <w:jc w:val="center"/>
        <w:rPr>
          <w:rFonts w:hint="eastAsia"/>
          <w:sz w:val="24"/>
          <w:szCs w:val="24"/>
        </w:rPr>
      </w:pPr>
      <w:r>
        <w:rPr>
          <w:rFonts w:hint="eastAsia" w:ascii="黑体" w:hAnsi="黑体" w:eastAsia="黑体"/>
          <w:b/>
          <w:sz w:val="32"/>
          <w:szCs w:val="32"/>
        </w:rPr>
        <w:t xml:space="preserve">十五 </w:t>
      </w:r>
      <w:r>
        <w:rPr>
          <w:rFonts w:hint="eastAsia" w:ascii="黑体" w:hAnsi="黑体" w:eastAsia="黑体"/>
          <w:b/>
          <w:sz w:val="32"/>
          <w:szCs w:val="32"/>
          <w:lang w:eastAsia="zh-CN"/>
        </w:rPr>
        <w:t>北京天地文化发展</w:t>
      </w:r>
      <w:r>
        <w:rPr>
          <w:rFonts w:hint="eastAsia" w:ascii="黑体" w:hAnsi="黑体" w:eastAsia="黑体"/>
          <w:b/>
          <w:sz w:val="32"/>
          <w:szCs w:val="32"/>
        </w:rPr>
        <w:t>基金会</w:t>
      </w:r>
      <w:r>
        <w:rPr>
          <w:rFonts w:hint="eastAsia" w:ascii="黑体" w:hAnsi="黑体" w:eastAsia="黑体"/>
          <w:b/>
          <w:sz w:val="32"/>
          <w:szCs w:val="32"/>
          <w:lang w:val="en-US" w:eastAsia="zh-CN"/>
        </w:rPr>
        <w:t>财务人员岗位职责</w:t>
      </w:r>
    </w:p>
    <w:p>
      <w:pPr>
        <w:spacing w:line="360" w:lineRule="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为了加强</w:t>
      </w:r>
      <w:r>
        <w:rPr>
          <w:rFonts w:hint="eastAsia"/>
          <w:sz w:val="24"/>
          <w:szCs w:val="24"/>
          <w:lang w:eastAsia="zh-CN"/>
        </w:rPr>
        <w:t>北京天地文化发展</w:t>
      </w:r>
      <w:r>
        <w:rPr>
          <w:rFonts w:hint="eastAsia"/>
          <w:sz w:val="24"/>
          <w:szCs w:val="24"/>
        </w:rPr>
        <w:t>基金会（以下简称</w:t>
      </w:r>
      <w:r>
        <w:rPr>
          <w:rFonts w:hint="eastAsia"/>
          <w:sz w:val="24"/>
          <w:szCs w:val="24"/>
          <w:lang w:eastAsia="zh-CN"/>
        </w:rPr>
        <w:t>天地基金会</w:t>
      </w:r>
      <w:r>
        <w:rPr>
          <w:rFonts w:hint="eastAsia"/>
          <w:sz w:val="24"/>
          <w:szCs w:val="24"/>
        </w:rPr>
        <w:t>）的财务管理，规范财务人员的财务行为，根据《中华人民共和国慈善法》、《中华人民共和国会计法》、《基金会管理条例》、《民间非营利组织会计制度》等法律法规，按照《</w:t>
      </w:r>
      <w:r>
        <w:rPr>
          <w:rFonts w:hint="eastAsia"/>
          <w:sz w:val="24"/>
          <w:szCs w:val="24"/>
          <w:lang w:eastAsia="zh-CN"/>
        </w:rPr>
        <w:t>北京天地文化发展</w:t>
      </w:r>
      <w:r>
        <w:rPr>
          <w:rFonts w:hint="eastAsia"/>
          <w:sz w:val="24"/>
          <w:szCs w:val="24"/>
        </w:rPr>
        <w:t>基金会章程》和《</w:t>
      </w:r>
      <w:r>
        <w:rPr>
          <w:rFonts w:hint="eastAsia"/>
          <w:sz w:val="24"/>
          <w:szCs w:val="24"/>
          <w:lang w:eastAsia="zh-CN"/>
        </w:rPr>
        <w:t>天地基金会</w:t>
      </w:r>
      <w:r>
        <w:rPr>
          <w:rFonts w:hint="eastAsia"/>
          <w:sz w:val="24"/>
          <w:szCs w:val="24"/>
        </w:rPr>
        <w:t>财务管理制度》的规定，制定本岗位职责。</w:t>
      </w:r>
    </w:p>
    <w:p>
      <w:pPr>
        <w:spacing w:line="360" w:lineRule="auto"/>
        <w:rPr>
          <w:rFonts w:hint="eastAsia"/>
          <w:sz w:val="24"/>
          <w:szCs w:val="24"/>
        </w:rPr>
      </w:pPr>
      <w:r>
        <w:rPr>
          <w:rFonts w:hint="eastAsia"/>
          <w:sz w:val="24"/>
          <w:szCs w:val="24"/>
        </w:rPr>
        <w:t>（一）财务负责人岗位职责</w:t>
      </w:r>
    </w:p>
    <w:p>
      <w:pPr>
        <w:spacing w:line="360" w:lineRule="auto"/>
        <w:ind w:firstLine="480" w:firstLineChars="200"/>
        <w:rPr>
          <w:rFonts w:hint="eastAsia"/>
          <w:sz w:val="24"/>
          <w:szCs w:val="24"/>
        </w:rPr>
      </w:pPr>
      <w:r>
        <w:rPr>
          <w:rFonts w:hint="eastAsia"/>
          <w:sz w:val="24"/>
          <w:szCs w:val="24"/>
        </w:rPr>
        <w:t>1.协助最高权力机构制定基金会发展战略。</w:t>
      </w:r>
    </w:p>
    <w:p>
      <w:pPr>
        <w:spacing w:line="360" w:lineRule="auto"/>
        <w:ind w:firstLine="480" w:firstLineChars="200"/>
        <w:rPr>
          <w:rFonts w:hint="eastAsia"/>
          <w:sz w:val="24"/>
          <w:szCs w:val="24"/>
        </w:rPr>
      </w:pPr>
      <w:r>
        <w:rPr>
          <w:rFonts w:hint="eastAsia"/>
          <w:sz w:val="24"/>
          <w:szCs w:val="24"/>
        </w:rPr>
        <w:t>2.负责基金会资金运作管理、日常财务管理与分析、筹资方略、对外投资等。</w:t>
      </w:r>
    </w:p>
    <w:p>
      <w:pPr>
        <w:spacing w:line="360" w:lineRule="auto"/>
        <w:ind w:firstLine="480" w:firstLineChars="200"/>
        <w:rPr>
          <w:rFonts w:hint="eastAsia"/>
          <w:sz w:val="24"/>
          <w:szCs w:val="24"/>
        </w:rPr>
      </w:pPr>
      <w:r>
        <w:rPr>
          <w:rFonts w:hint="eastAsia"/>
          <w:sz w:val="24"/>
          <w:szCs w:val="24"/>
        </w:rPr>
        <w:t>3.负责项目成本核算与控制。</w:t>
      </w:r>
    </w:p>
    <w:p>
      <w:pPr>
        <w:spacing w:line="360" w:lineRule="auto"/>
        <w:ind w:firstLine="480" w:firstLineChars="200"/>
        <w:rPr>
          <w:rFonts w:hint="eastAsia"/>
          <w:sz w:val="24"/>
          <w:szCs w:val="24"/>
        </w:rPr>
      </w:pPr>
      <w:r>
        <w:rPr>
          <w:rFonts w:hint="eastAsia"/>
          <w:sz w:val="24"/>
          <w:szCs w:val="24"/>
        </w:rPr>
        <w:t>4.负责基金会财务管理及内部控制，根据基金会业务发展的计划，完成年度财务预算，并跟踪其执行情况。</w:t>
      </w:r>
    </w:p>
    <w:p>
      <w:pPr>
        <w:spacing w:line="360" w:lineRule="auto"/>
        <w:ind w:firstLine="480" w:firstLineChars="200"/>
        <w:rPr>
          <w:rFonts w:hint="eastAsia"/>
          <w:sz w:val="24"/>
          <w:szCs w:val="24"/>
        </w:rPr>
      </w:pPr>
      <w:r>
        <w:rPr>
          <w:rFonts w:hint="eastAsia"/>
          <w:sz w:val="24"/>
          <w:szCs w:val="24"/>
        </w:rPr>
        <w:t>5.按时向理事会提供财务报告和必要的财务分析，并确保这些报告可靠、准确。</w:t>
      </w:r>
    </w:p>
    <w:p>
      <w:pPr>
        <w:spacing w:line="360" w:lineRule="auto"/>
        <w:ind w:firstLine="480" w:firstLineChars="200"/>
        <w:rPr>
          <w:rFonts w:hint="eastAsia"/>
          <w:sz w:val="24"/>
          <w:szCs w:val="24"/>
        </w:rPr>
      </w:pPr>
      <w:r>
        <w:rPr>
          <w:rFonts w:hint="eastAsia"/>
          <w:sz w:val="24"/>
          <w:szCs w:val="24"/>
        </w:rPr>
        <w:t>6.制定、维护、改进基金会财务管理程序和政策，以满足控制风险的要求，如改进应收账款、应付账款、成本费用、现金、银行存款的业务程序等。</w:t>
      </w:r>
    </w:p>
    <w:p>
      <w:pPr>
        <w:spacing w:line="360" w:lineRule="auto"/>
        <w:ind w:firstLine="480" w:firstLineChars="200"/>
        <w:rPr>
          <w:rFonts w:hint="eastAsia"/>
          <w:sz w:val="24"/>
          <w:szCs w:val="24"/>
        </w:rPr>
      </w:pPr>
      <w:r>
        <w:rPr>
          <w:rFonts w:hint="eastAsia"/>
          <w:sz w:val="24"/>
          <w:szCs w:val="24"/>
        </w:rPr>
        <w:t>7.组织制定财务方面的管理制度及有关规定并监督执行，制定年度/季度财务计划。</w:t>
      </w:r>
    </w:p>
    <w:p>
      <w:pPr>
        <w:spacing w:line="360" w:lineRule="auto"/>
        <w:ind w:firstLine="480" w:firstLineChars="200"/>
        <w:rPr>
          <w:rFonts w:hint="eastAsia"/>
          <w:sz w:val="24"/>
          <w:szCs w:val="24"/>
        </w:rPr>
      </w:pPr>
      <w:r>
        <w:rPr>
          <w:rFonts w:hint="eastAsia"/>
          <w:sz w:val="24"/>
          <w:szCs w:val="24"/>
        </w:rPr>
        <w:t>8.监控可能会对基金会造成经济损失的重大经济活动，并及时向理事会报告。</w:t>
      </w:r>
    </w:p>
    <w:p>
      <w:pPr>
        <w:spacing w:line="360" w:lineRule="auto"/>
        <w:ind w:firstLine="480" w:firstLineChars="200"/>
        <w:rPr>
          <w:rFonts w:hint="eastAsia"/>
          <w:sz w:val="24"/>
          <w:szCs w:val="24"/>
        </w:rPr>
      </w:pPr>
      <w:r>
        <w:rPr>
          <w:rFonts w:hint="eastAsia"/>
          <w:sz w:val="24"/>
          <w:szCs w:val="24"/>
        </w:rPr>
        <w:t>9.监控基金会重大投资项目，以确保未经批准的项目不实施；批准的项目在预算范围内进行，并在控制之中。</w:t>
      </w:r>
    </w:p>
    <w:p>
      <w:pPr>
        <w:spacing w:line="360" w:lineRule="auto"/>
        <w:ind w:firstLine="480" w:firstLineChars="200"/>
        <w:rPr>
          <w:rFonts w:hint="eastAsia"/>
          <w:sz w:val="24"/>
          <w:szCs w:val="24"/>
        </w:rPr>
      </w:pPr>
      <w:r>
        <w:rPr>
          <w:rFonts w:hint="eastAsia"/>
          <w:sz w:val="24"/>
          <w:szCs w:val="24"/>
        </w:rPr>
        <w:t>10.全面负责财务管理的日常工作。</w:t>
      </w:r>
    </w:p>
    <w:p>
      <w:pPr>
        <w:spacing w:line="360" w:lineRule="auto"/>
        <w:ind w:firstLine="480" w:firstLineChars="200"/>
        <w:rPr>
          <w:rFonts w:hint="eastAsia"/>
          <w:sz w:val="24"/>
          <w:szCs w:val="24"/>
        </w:rPr>
      </w:pPr>
      <w:r>
        <w:rPr>
          <w:rFonts w:hint="eastAsia"/>
          <w:sz w:val="24"/>
          <w:szCs w:val="24"/>
        </w:rPr>
        <w:t>11.负责编制及组织实施财务预算报告、月季/年度财务报告。</w:t>
      </w:r>
    </w:p>
    <w:p>
      <w:pPr>
        <w:spacing w:line="360" w:lineRule="auto"/>
        <w:ind w:firstLine="480" w:firstLineChars="200"/>
        <w:rPr>
          <w:rFonts w:hint="eastAsia"/>
          <w:sz w:val="24"/>
          <w:szCs w:val="24"/>
        </w:rPr>
      </w:pPr>
      <w:r>
        <w:rPr>
          <w:rFonts w:hint="eastAsia"/>
          <w:sz w:val="24"/>
          <w:szCs w:val="24"/>
        </w:rPr>
        <w:t>12.负责基金会全面的成本核算、会计核算和资金、资产的管理工作。</w:t>
      </w:r>
    </w:p>
    <w:p>
      <w:pPr>
        <w:spacing w:line="360" w:lineRule="auto"/>
        <w:ind w:firstLine="480" w:firstLineChars="200"/>
        <w:rPr>
          <w:rFonts w:hint="eastAsia"/>
          <w:sz w:val="24"/>
          <w:szCs w:val="24"/>
        </w:rPr>
      </w:pPr>
      <w:r>
        <w:rPr>
          <w:rFonts w:hint="eastAsia"/>
          <w:sz w:val="24"/>
          <w:szCs w:val="24"/>
        </w:rPr>
        <w:t>13.管理与银行、税务、工商及其他机构的关系，并及时办理基金会与其之间的业务往来。</w:t>
      </w:r>
    </w:p>
    <w:p>
      <w:pPr>
        <w:spacing w:line="360" w:lineRule="auto"/>
        <w:ind w:firstLine="480" w:firstLineChars="200"/>
        <w:rPr>
          <w:rFonts w:hint="eastAsia"/>
          <w:sz w:val="24"/>
          <w:szCs w:val="24"/>
        </w:rPr>
      </w:pPr>
      <w:r>
        <w:rPr>
          <w:rFonts w:hint="eastAsia"/>
          <w:sz w:val="24"/>
          <w:szCs w:val="24"/>
        </w:rPr>
        <w:t>14.完成上级交给的其他日常事务性工作。</w:t>
      </w:r>
    </w:p>
    <w:p>
      <w:pPr>
        <w:spacing w:line="360" w:lineRule="auto"/>
        <w:rPr>
          <w:rFonts w:hint="eastAsia"/>
          <w:sz w:val="24"/>
          <w:szCs w:val="24"/>
        </w:rPr>
      </w:pPr>
    </w:p>
    <w:p>
      <w:pPr>
        <w:spacing w:line="360" w:lineRule="auto"/>
        <w:rPr>
          <w:rFonts w:hint="eastAsia"/>
          <w:sz w:val="24"/>
          <w:szCs w:val="24"/>
        </w:rPr>
      </w:pPr>
      <w:r>
        <w:rPr>
          <w:rFonts w:hint="eastAsia"/>
          <w:sz w:val="24"/>
          <w:szCs w:val="24"/>
        </w:rPr>
        <w:t>（二）会计人员岗位职责</w:t>
      </w:r>
    </w:p>
    <w:p>
      <w:pPr>
        <w:spacing w:line="360" w:lineRule="auto"/>
        <w:ind w:firstLine="480" w:firstLineChars="200"/>
        <w:rPr>
          <w:rFonts w:hint="eastAsia"/>
          <w:sz w:val="24"/>
          <w:szCs w:val="24"/>
        </w:rPr>
      </w:pPr>
      <w:r>
        <w:rPr>
          <w:rFonts w:hint="eastAsia"/>
          <w:sz w:val="24"/>
          <w:szCs w:val="24"/>
        </w:rPr>
        <w:t>1.负责记好行政方面的财务总帐及各种明细帐目。手续完备、数字准确、书写整洁、登记及时、帐面清楚。</w:t>
      </w:r>
    </w:p>
    <w:p>
      <w:pPr>
        <w:spacing w:line="360" w:lineRule="auto"/>
        <w:ind w:firstLine="480" w:firstLineChars="200"/>
        <w:rPr>
          <w:rFonts w:hint="eastAsia"/>
          <w:sz w:val="24"/>
          <w:szCs w:val="24"/>
        </w:rPr>
      </w:pPr>
      <w:r>
        <w:rPr>
          <w:rFonts w:hint="eastAsia"/>
          <w:sz w:val="24"/>
          <w:szCs w:val="24"/>
        </w:rPr>
        <w:t>2.负责编制月、季、年终决算和其他方面有关报表。</w:t>
      </w:r>
    </w:p>
    <w:p>
      <w:pPr>
        <w:spacing w:line="360" w:lineRule="auto"/>
        <w:ind w:firstLine="480" w:firstLineChars="200"/>
        <w:rPr>
          <w:rFonts w:hint="eastAsia"/>
          <w:sz w:val="24"/>
          <w:szCs w:val="24"/>
        </w:rPr>
      </w:pPr>
      <w:r>
        <w:rPr>
          <w:rFonts w:hint="eastAsia"/>
          <w:sz w:val="24"/>
          <w:szCs w:val="24"/>
        </w:rPr>
        <w:t>3.协助</w:t>
      </w:r>
      <w:r>
        <w:rPr>
          <w:rFonts w:hint="eastAsia"/>
          <w:sz w:val="24"/>
          <w:szCs w:val="24"/>
          <w:lang w:val="en-US" w:eastAsia="zh-CN"/>
        </w:rPr>
        <w:t>主管</w:t>
      </w:r>
      <w:r>
        <w:rPr>
          <w:rFonts w:hint="eastAsia"/>
          <w:sz w:val="24"/>
          <w:szCs w:val="24"/>
        </w:rPr>
        <w:t>编制并执行</w:t>
      </w:r>
      <w:r>
        <w:rPr>
          <w:rFonts w:hint="eastAsia"/>
          <w:sz w:val="24"/>
          <w:szCs w:val="24"/>
          <w:lang w:val="en-US" w:eastAsia="zh-CN"/>
        </w:rPr>
        <w:t>基金会</w:t>
      </w:r>
      <w:r>
        <w:rPr>
          <w:rFonts w:hint="eastAsia"/>
          <w:sz w:val="24"/>
          <w:szCs w:val="24"/>
        </w:rPr>
        <w:t>预算。</w:t>
      </w:r>
    </w:p>
    <w:p>
      <w:pPr>
        <w:spacing w:line="360" w:lineRule="auto"/>
        <w:ind w:firstLine="480" w:firstLineChars="200"/>
        <w:rPr>
          <w:rFonts w:hint="eastAsia"/>
          <w:sz w:val="24"/>
          <w:szCs w:val="24"/>
        </w:rPr>
      </w:pPr>
      <w:r>
        <w:rPr>
          <w:rFonts w:hint="eastAsia"/>
          <w:sz w:val="24"/>
          <w:szCs w:val="24"/>
        </w:rPr>
        <w:t>4.认真审核原始凭证，对违反规定或不合格的凭证应拒绝入帐。要严格掌握开支范围和开支标准。</w:t>
      </w:r>
    </w:p>
    <w:p>
      <w:pPr>
        <w:spacing w:line="360" w:lineRule="auto"/>
        <w:ind w:firstLine="480" w:firstLineChars="200"/>
        <w:rPr>
          <w:rFonts w:hint="eastAsia"/>
          <w:sz w:val="24"/>
          <w:szCs w:val="24"/>
        </w:rPr>
      </w:pPr>
      <w:r>
        <w:rPr>
          <w:rFonts w:hint="eastAsia"/>
          <w:sz w:val="24"/>
          <w:szCs w:val="24"/>
        </w:rPr>
        <w:t>5.定期核对固定资产帐目，作到帐物相符。</w:t>
      </w:r>
    </w:p>
    <w:p>
      <w:pPr>
        <w:spacing w:line="360" w:lineRule="auto"/>
        <w:ind w:firstLine="480" w:firstLineChars="200"/>
        <w:rPr>
          <w:rFonts w:hint="eastAsia"/>
          <w:sz w:val="24"/>
          <w:szCs w:val="24"/>
        </w:rPr>
      </w:pPr>
      <w:r>
        <w:rPr>
          <w:rFonts w:hint="eastAsia"/>
          <w:sz w:val="24"/>
          <w:szCs w:val="24"/>
        </w:rPr>
        <w:t>6.上级财务机关检查工作时，要负责提供资料和反映情况。</w:t>
      </w:r>
    </w:p>
    <w:p>
      <w:pPr>
        <w:spacing w:line="360" w:lineRule="auto"/>
        <w:ind w:firstLine="480" w:firstLineChars="200"/>
        <w:rPr>
          <w:rFonts w:hint="eastAsia"/>
          <w:sz w:val="24"/>
          <w:szCs w:val="24"/>
        </w:rPr>
      </w:pPr>
      <w:r>
        <w:rPr>
          <w:rFonts w:hint="eastAsia"/>
          <w:sz w:val="24"/>
          <w:szCs w:val="24"/>
        </w:rPr>
        <w:t>7.每月书面向</w:t>
      </w:r>
      <w:r>
        <w:rPr>
          <w:rFonts w:hint="eastAsia"/>
          <w:sz w:val="24"/>
          <w:szCs w:val="24"/>
          <w:lang w:val="en-US" w:eastAsia="zh-CN"/>
        </w:rPr>
        <w:t>主管</w:t>
      </w:r>
      <w:r>
        <w:rPr>
          <w:rFonts w:hint="eastAsia"/>
          <w:sz w:val="24"/>
          <w:szCs w:val="24"/>
        </w:rPr>
        <w:t>汇报财务情况，当好</w:t>
      </w:r>
      <w:r>
        <w:rPr>
          <w:rFonts w:hint="eastAsia"/>
          <w:sz w:val="24"/>
          <w:szCs w:val="24"/>
          <w:lang w:val="en-US" w:eastAsia="zh-CN"/>
        </w:rPr>
        <w:t>主管</w:t>
      </w:r>
      <w:r>
        <w:rPr>
          <w:rFonts w:hint="eastAsia"/>
          <w:sz w:val="24"/>
          <w:szCs w:val="24"/>
        </w:rPr>
        <w:t>参谋，发挥财务监督作用。</w:t>
      </w:r>
    </w:p>
    <w:p>
      <w:pPr>
        <w:spacing w:line="360" w:lineRule="auto"/>
        <w:ind w:firstLine="480" w:firstLineChars="200"/>
        <w:rPr>
          <w:rFonts w:hint="eastAsia"/>
          <w:sz w:val="24"/>
          <w:szCs w:val="24"/>
        </w:rPr>
      </w:pPr>
      <w:r>
        <w:rPr>
          <w:rFonts w:hint="eastAsia"/>
          <w:sz w:val="24"/>
          <w:szCs w:val="24"/>
        </w:rPr>
        <w:t>8.定期装订会计凭证、帐簿、表册等，妥善保管和存档。当年会计档案由会计人员保管，往年会计档案由档案室保管。</w:t>
      </w:r>
    </w:p>
    <w:p>
      <w:pPr>
        <w:spacing w:line="360" w:lineRule="auto"/>
        <w:ind w:firstLine="480" w:firstLineChars="200"/>
        <w:rPr>
          <w:rFonts w:hint="eastAsia"/>
          <w:sz w:val="24"/>
          <w:szCs w:val="24"/>
        </w:rPr>
      </w:pPr>
      <w:r>
        <w:rPr>
          <w:rFonts w:hint="eastAsia"/>
          <w:sz w:val="24"/>
          <w:szCs w:val="24"/>
        </w:rPr>
        <w:t>9.协助出纳作好工资、奖金的发放工作。</w:t>
      </w:r>
    </w:p>
    <w:p>
      <w:pPr>
        <w:spacing w:line="360" w:lineRule="auto"/>
        <w:ind w:firstLine="480" w:firstLineChars="200"/>
        <w:rPr>
          <w:rFonts w:hint="eastAsia"/>
          <w:sz w:val="24"/>
          <w:szCs w:val="24"/>
        </w:rPr>
      </w:pPr>
      <w:r>
        <w:rPr>
          <w:rFonts w:hint="eastAsia"/>
          <w:sz w:val="24"/>
          <w:szCs w:val="24"/>
        </w:rPr>
        <w:t>10.负责掌管财务印章，严格控制支票的签发。</w:t>
      </w:r>
    </w:p>
    <w:p>
      <w:pPr>
        <w:spacing w:line="360" w:lineRule="auto"/>
        <w:ind w:firstLine="480" w:firstLineChars="200"/>
        <w:rPr>
          <w:rFonts w:hint="eastAsia"/>
          <w:sz w:val="24"/>
          <w:szCs w:val="24"/>
        </w:rPr>
      </w:pPr>
      <w:r>
        <w:rPr>
          <w:rFonts w:hint="eastAsia"/>
          <w:sz w:val="24"/>
          <w:szCs w:val="24"/>
        </w:rPr>
        <w:t>11.按期填报审计报表，认真自查，按时报送会计资料。</w:t>
      </w:r>
    </w:p>
    <w:p>
      <w:pPr>
        <w:spacing w:line="360" w:lineRule="auto"/>
        <w:ind w:firstLine="480" w:firstLineChars="200"/>
        <w:rPr>
          <w:rFonts w:hint="eastAsia"/>
          <w:sz w:val="24"/>
          <w:szCs w:val="24"/>
        </w:rPr>
      </w:pPr>
      <w:r>
        <w:rPr>
          <w:rFonts w:hint="eastAsia"/>
          <w:sz w:val="24"/>
          <w:szCs w:val="24"/>
        </w:rPr>
        <w:t>12.加强安全防范意识和安全防范措施，严格执行财务管理方面的安全制度，确保不出安全问题。</w:t>
      </w:r>
    </w:p>
    <w:p>
      <w:pPr>
        <w:spacing w:line="360" w:lineRule="auto"/>
        <w:ind w:firstLine="480" w:firstLineChars="200"/>
        <w:rPr>
          <w:rFonts w:hint="eastAsia"/>
          <w:sz w:val="24"/>
          <w:szCs w:val="24"/>
        </w:rPr>
      </w:pPr>
      <w:r>
        <w:rPr>
          <w:rFonts w:hint="eastAsia"/>
          <w:sz w:val="24"/>
          <w:szCs w:val="24"/>
        </w:rPr>
        <w:t>13.严格遵守、执行国家财经法律法规和财务会计制度，做好会计工作。</w:t>
      </w:r>
    </w:p>
    <w:p>
      <w:pPr>
        <w:spacing w:line="360" w:lineRule="auto"/>
        <w:rPr>
          <w:rFonts w:hint="eastAsia"/>
          <w:sz w:val="24"/>
          <w:szCs w:val="24"/>
        </w:rPr>
      </w:pPr>
    </w:p>
    <w:p>
      <w:pPr>
        <w:spacing w:line="360" w:lineRule="auto"/>
        <w:rPr>
          <w:rFonts w:hint="eastAsia"/>
          <w:sz w:val="24"/>
          <w:szCs w:val="24"/>
        </w:rPr>
      </w:pPr>
      <w:r>
        <w:rPr>
          <w:rFonts w:hint="eastAsia"/>
          <w:sz w:val="24"/>
          <w:szCs w:val="24"/>
        </w:rPr>
        <w:t>（三）出纳岗位职责</w:t>
      </w:r>
    </w:p>
    <w:p>
      <w:pPr>
        <w:spacing w:line="360" w:lineRule="auto"/>
        <w:ind w:firstLine="480" w:firstLineChars="200"/>
        <w:rPr>
          <w:rFonts w:hint="eastAsia"/>
          <w:sz w:val="24"/>
          <w:szCs w:val="24"/>
        </w:rPr>
      </w:pPr>
      <w:r>
        <w:rPr>
          <w:rFonts w:hint="eastAsia"/>
          <w:sz w:val="24"/>
          <w:szCs w:val="24"/>
        </w:rPr>
        <w:t>1.建立和健全现金日记账簿，出纳应根据审批无误的收支凭单，逐笔顺序登记现金流水、收支账目，并每天结出余额，核对库存，做到日清月结，结帐实相符。</w:t>
      </w:r>
    </w:p>
    <w:p>
      <w:pPr>
        <w:spacing w:line="360" w:lineRule="auto"/>
        <w:ind w:firstLine="480" w:firstLineChars="200"/>
        <w:rPr>
          <w:rFonts w:hint="eastAsia"/>
          <w:sz w:val="24"/>
          <w:szCs w:val="24"/>
        </w:rPr>
      </w:pPr>
      <w:r>
        <w:rPr>
          <w:rFonts w:hint="eastAsia"/>
          <w:sz w:val="24"/>
          <w:szCs w:val="24"/>
        </w:rPr>
        <w:t>2.库存现金超过1万元时，必须存入银行。</w:t>
      </w:r>
    </w:p>
    <w:p>
      <w:pPr>
        <w:spacing w:line="360" w:lineRule="auto"/>
        <w:ind w:firstLine="480" w:firstLineChars="200"/>
        <w:rPr>
          <w:rFonts w:hint="eastAsia"/>
          <w:sz w:val="24"/>
          <w:szCs w:val="24"/>
        </w:rPr>
      </w:pPr>
      <w:r>
        <w:rPr>
          <w:rFonts w:hint="eastAsia"/>
          <w:sz w:val="24"/>
          <w:szCs w:val="24"/>
        </w:rPr>
        <w:t>3.出纳收取现金时，需立即开具一式四联的现金收据，由缴款人在右下角签名后交缴款人，业务部门、出纳、会计各留存一联。</w:t>
      </w:r>
    </w:p>
    <w:p>
      <w:pPr>
        <w:spacing w:line="360" w:lineRule="auto"/>
        <w:ind w:firstLine="480" w:firstLineChars="200"/>
        <w:rPr>
          <w:rFonts w:hint="eastAsia"/>
          <w:sz w:val="24"/>
          <w:szCs w:val="24"/>
        </w:rPr>
      </w:pPr>
      <w:r>
        <w:rPr>
          <w:rFonts w:hint="eastAsia"/>
          <w:sz w:val="24"/>
          <w:szCs w:val="24"/>
        </w:rPr>
        <w:t>4.任何现金支出必须按相关程序报批。因出差或其他原因必须预支现金的，须填写借款单，经秘书长签字批准方可出支出现金。借款人要在出差回来货借款后三天内向出纳还款或报销。</w:t>
      </w:r>
    </w:p>
    <w:p>
      <w:pPr>
        <w:spacing w:line="360" w:lineRule="auto"/>
        <w:ind w:firstLine="480" w:firstLineChars="200"/>
        <w:rPr>
          <w:rFonts w:hint="eastAsia"/>
          <w:sz w:val="24"/>
          <w:szCs w:val="24"/>
        </w:rPr>
      </w:pPr>
      <w:r>
        <w:rPr>
          <w:rFonts w:hint="eastAsia"/>
          <w:sz w:val="24"/>
          <w:szCs w:val="24"/>
        </w:rPr>
        <w:t>5.出纳应按基金会报销制度程序给予报销，不符合财务制度的，坚决予以退回。把好费用支出最后一关。收支单据办理完毕后，出纳需在审核无误的收支凭单上签章。并在原始单据上加盖现金收、付讫章，防止重复报销。</w:t>
      </w:r>
    </w:p>
    <w:p>
      <w:pPr>
        <w:spacing w:line="360" w:lineRule="auto"/>
        <w:ind w:firstLine="480" w:firstLineChars="200"/>
        <w:rPr>
          <w:rFonts w:hint="eastAsia"/>
          <w:sz w:val="24"/>
          <w:szCs w:val="24"/>
        </w:rPr>
      </w:pPr>
      <w:r>
        <w:rPr>
          <w:rFonts w:hint="eastAsia"/>
          <w:sz w:val="24"/>
          <w:szCs w:val="24"/>
        </w:rPr>
        <w:t>6.出纳人员在每日完成出纳工作后，应将库存现金上的存收入支出结存情况，编制出纳报告表，并对由出纳保管的库存现金由部门主管人进行不定期抽盘。</w:t>
      </w:r>
    </w:p>
    <w:p>
      <w:pPr>
        <w:spacing w:line="360" w:lineRule="auto"/>
        <w:ind w:firstLine="480" w:firstLineChars="200"/>
        <w:rPr>
          <w:rFonts w:hint="eastAsia"/>
          <w:sz w:val="24"/>
          <w:szCs w:val="24"/>
        </w:rPr>
      </w:pPr>
      <w:r>
        <w:rPr>
          <w:rFonts w:hint="eastAsia"/>
          <w:sz w:val="24"/>
          <w:szCs w:val="24"/>
        </w:rPr>
        <w:t>7.出纳应根据银行存款日记账的账面余额与开户银行转来的对账单的余额进行核对，对未达账项应由会计编制银行存款余额调节表进行检查核对。</w:t>
      </w:r>
    </w:p>
    <w:p>
      <w:pPr>
        <w:spacing w:line="360" w:lineRule="auto"/>
        <w:ind w:firstLine="480" w:firstLineChars="200"/>
        <w:rPr>
          <w:rFonts w:hint="eastAsia"/>
          <w:sz w:val="24"/>
          <w:szCs w:val="24"/>
        </w:rPr>
      </w:pPr>
      <w:r>
        <w:rPr>
          <w:rFonts w:hint="eastAsia"/>
          <w:sz w:val="24"/>
          <w:szCs w:val="24"/>
        </w:rPr>
        <w:t>8.出纳人员是基金会对内对外的窗口，应严格遵守会计的职业道德，提高服务质量。各位财务人员必须。团结互助、互敬互谅，保持高度的协作精神，及时高效地完成本职工作。</w:t>
      </w:r>
    </w:p>
    <w:p>
      <w:pPr>
        <w:spacing w:line="360" w:lineRule="auto"/>
        <w:ind w:firstLine="480" w:firstLineChars="200"/>
        <w:rPr>
          <w:rFonts w:hint="eastAsia"/>
          <w:sz w:val="24"/>
          <w:szCs w:val="24"/>
        </w:rPr>
      </w:pPr>
      <w:r>
        <w:rPr>
          <w:rFonts w:hint="eastAsia"/>
          <w:sz w:val="24"/>
          <w:szCs w:val="24"/>
        </w:rPr>
        <w:t>9.严格遵守执行国家财经法律法规和财会制度，做好出纳工作。</w:t>
      </w:r>
    </w:p>
    <w:p>
      <w:pPr>
        <w:spacing w:line="360" w:lineRule="auto"/>
        <w:rPr>
          <w:sz w:val="24"/>
          <w:szCs w:val="24"/>
        </w:rPr>
      </w:pPr>
      <w:r>
        <w:rPr>
          <w:rFonts w:hint="eastAsia"/>
          <w:sz w:val="24"/>
          <w:szCs w:val="24"/>
        </w:rPr>
        <w:t xml:space="preserve"> </w:t>
      </w:r>
    </w:p>
    <w:p>
      <w:pPr>
        <w:spacing w:before="156" w:beforeLines="50" w:after="156" w:afterLines="50" w:line="360" w:lineRule="auto"/>
        <w:jc w:val="center"/>
        <w:outlineLvl w:val="1"/>
        <w:rPr>
          <w:rFonts w:ascii="黑体" w:hAnsi="黑体" w:eastAsia="黑体"/>
          <w:b/>
          <w:sz w:val="32"/>
          <w:szCs w:val="32"/>
        </w:rPr>
      </w:pPr>
      <w:bookmarkStart w:id="28" w:name="_Toc403829188"/>
      <w:bookmarkStart w:id="29" w:name="_Toc666"/>
      <w:r>
        <w:rPr>
          <w:rFonts w:hint="eastAsia" w:ascii="黑体" w:hAnsi="黑体" w:eastAsia="黑体"/>
          <w:b/>
          <w:sz w:val="32"/>
          <w:szCs w:val="32"/>
        </w:rPr>
        <w:t>十</w:t>
      </w:r>
      <w:r>
        <w:rPr>
          <w:rFonts w:hint="eastAsia" w:ascii="黑体" w:hAnsi="黑体" w:eastAsia="黑体"/>
          <w:b/>
          <w:sz w:val="32"/>
          <w:szCs w:val="32"/>
          <w:lang w:val="en-US" w:eastAsia="zh-CN"/>
        </w:rPr>
        <w:t>六</w:t>
      </w:r>
      <w:r>
        <w:rPr>
          <w:rFonts w:hint="eastAsia" w:ascii="黑体" w:hAnsi="黑体" w:eastAsia="黑体"/>
          <w:b/>
          <w:sz w:val="32"/>
          <w:szCs w:val="32"/>
        </w:rPr>
        <w:t xml:space="preserve"> </w:t>
      </w:r>
      <w:r>
        <w:rPr>
          <w:rFonts w:hint="eastAsia" w:ascii="黑体" w:hAnsi="黑体" w:eastAsia="黑体"/>
          <w:b/>
          <w:sz w:val="32"/>
          <w:szCs w:val="32"/>
          <w:lang w:eastAsia="zh-CN"/>
        </w:rPr>
        <w:t>北京天地文化发展</w:t>
      </w:r>
      <w:r>
        <w:rPr>
          <w:rFonts w:hint="eastAsia" w:ascii="黑体" w:hAnsi="黑体" w:eastAsia="黑体"/>
          <w:b/>
          <w:sz w:val="32"/>
          <w:szCs w:val="32"/>
        </w:rPr>
        <w:t>基金会会计档案管理制度</w:t>
      </w:r>
      <w:bookmarkEnd w:id="28"/>
      <w:bookmarkEnd w:id="29"/>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 总则</w:t>
      </w:r>
    </w:p>
    <w:p>
      <w:pPr>
        <w:spacing w:line="360" w:lineRule="auto"/>
        <w:ind w:firstLine="480" w:firstLineChars="200"/>
        <w:rPr>
          <w:sz w:val="24"/>
          <w:szCs w:val="24"/>
        </w:rPr>
      </w:pPr>
      <w:r>
        <w:rPr>
          <w:rFonts w:hint="eastAsia"/>
          <w:sz w:val="24"/>
          <w:szCs w:val="24"/>
        </w:rPr>
        <w:t>1.1为了加强会计档案管理</w:t>
      </w:r>
      <w:r>
        <w:rPr>
          <w:rFonts w:hint="eastAsia"/>
          <w:sz w:val="24"/>
          <w:szCs w:val="24"/>
          <w:lang w:eastAsia="zh-CN"/>
        </w:rPr>
        <w:t>，</w:t>
      </w:r>
      <w:r>
        <w:rPr>
          <w:rFonts w:hint="eastAsia"/>
          <w:sz w:val="24"/>
          <w:szCs w:val="24"/>
        </w:rPr>
        <w:t>保证会计档案的安全、完整、及时</w:t>
      </w:r>
      <w:r>
        <w:rPr>
          <w:rFonts w:hint="eastAsia"/>
          <w:sz w:val="24"/>
          <w:szCs w:val="24"/>
          <w:lang w:eastAsia="zh-CN"/>
        </w:rPr>
        <w:t>，</w:t>
      </w:r>
      <w:r>
        <w:rPr>
          <w:rFonts w:hint="eastAsia"/>
          <w:sz w:val="24"/>
          <w:szCs w:val="24"/>
        </w:rPr>
        <w:t>根据《中华人民共和国慈善法》、《中华人民共和国会计法》和《中华人民共和国档案法》及财政部《会计档案管理办法》的规定</w:t>
      </w:r>
      <w:r>
        <w:rPr>
          <w:rFonts w:hint="eastAsia"/>
          <w:sz w:val="24"/>
          <w:szCs w:val="24"/>
          <w:lang w:eastAsia="zh-CN"/>
        </w:rPr>
        <w:t>，</w:t>
      </w:r>
      <w:r>
        <w:rPr>
          <w:rFonts w:hint="eastAsia"/>
          <w:sz w:val="24"/>
          <w:szCs w:val="24"/>
        </w:rPr>
        <w:t xml:space="preserve">结合本基金会实际情况，制定本制度。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 xml:space="preserve">2．会计档案管理部门 </w:t>
      </w:r>
    </w:p>
    <w:p>
      <w:pPr>
        <w:spacing w:line="360" w:lineRule="auto"/>
        <w:ind w:firstLine="480" w:firstLineChars="200"/>
        <w:rPr>
          <w:sz w:val="24"/>
          <w:szCs w:val="24"/>
        </w:rPr>
      </w:pPr>
      <w:r>
        <w:rPr>
          <w:rFonts w:hint="eastAsia"/>
          <w:sz w:val="24"/>
          <w:szCs w:val="24"/>
        </w:rPr>
        <w:t xml:space="preserve">2.1基金会档案主管部门和基金会财务部门共同负责会计档案工作的指导、监督和检查。会计档案的具体管理工作由财务部门负责，由财务部门指定专人负责在专门地点保管。保管地点应具备完善的防潮、防霉、防蛀、防火、防盗等条件。 </w:t>
      </w:r>
    </w:p>
    <w:p>
      <w:pPr>
        <w:spacing w:line="360" w:lineRule="auto"/>
        <w:ind w:firstLine="480" w:firstLineChars="200"/>
        <w:rPr>
          <w:sz w:val="24"/>
          <w:szCs w:val="24"/>
        </w:rPr>
      </w:pPr>
      <w:r>
        <w:rPr>
          <w:rFonts w:hint="eastAsia"/>
          <w:sz w:val="24"/>
          <w:szCs w:val="24"/>
        </w:rPr>
        <w:t xml:space="preserve">2.2财务部门及基金会内部有关部门，必须建立会计档案的立卷、归档、保管、查阅和销毁等管理制度，保证会计档案妥善保管、有序存放、方便查阅、严防毁损、散失和泄密。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 xml:space="preserve">3．会计档案归档的范围 </w:t>
      </w:r>
    </w:p>
    <w:p>
      <w:pPr>
        <w:spacing w:line="360" w:lineRule="auto"/>
        <w:ind w:firstLine="480" w:firstLineChars="200"/>
        <w:rPr>
          <w:sz w:val="24"/>
          <w:szCs w:val="24"/>
        </w:rPr>
      </w:pPr>
      <w:r>
        <w:rPr>
          <w:rFonts w:hint="eastAsia"/>
          <w:sz w:val="24"/>
          <w:szCs w:val="24"/>
        </w:rPr>
        <w:t xml:space="preserve">3.1会计凭证。包括外来的和自制的各种原始凭证、原始凭证汇总表、记账凭证、记账凭证汇总表，涉及对外对私改造资料，银行存款（借款）对账单及余额调节表等。年度终了都必须按照规定归档。 </w:t>
      </w:r>
    </w:p>
    <w:p>
      <w:pPr>
        <w:spacing w:line="360" w:lineRule="auto"/>
        <w:ind w:firstLine="480" w:firstLineChars="200"/>
        <w:rPr>
          <w:sz w:val="24"/>
          <w:szCs w:val="24"/>
        </w:rPr>
      </w:pPr>
      <w:r>
        <w:rPr>
          <w:rFonts w:hint="eastAsia"/>
          <w:sz w:val="24"/>
          <w:szCs w:val="24"/>
        </w:rPr>
        <w:t xml:space="preserve">3.2会计账簿。包括总账、明细账、日记账、各种辅助登记簿等。 </w:t>
      </w:r>
    </w:p>
    <w:p>
      <w:pPr>
        <w:spacing w:line="360" w:lineRule="auto"/>
        <w:ind w:firstLine="480" w:firstLineChars="200"/>
        <w:rPr>
          <w:sz w:val="24"/>
          <w:szCs w:val="24"/>
        </w:rPr>
      </w:pPr>
      <w:r>
        <w:rPr>
          <w:rFonts w:hint="eastAsia"/>
          <w:sz w:val="24"/>
          <w:szCs w:val="24"/>
        </w:rPr>
        <w:t xml:space="preserve">3.3财务报告。包括《会计制度》规定和主管部门临时通知编报的主要财务指标快报，月、季、年度会计报表，报表附注及财务情况说明书。上级主管部门对报告的批复及社会审计的审计报告。 </w:t>
      </w:r>
    </w:p>
    <w:p>
      <w:pPr>
        <w:spacing w:line="360" w:lineRule="auto"/>
        <w:ind w:firstLine="480" w:firstLineChars="200"/>
        <w:rPr>
          <w:sz w:val="24"/>
          <w:szCs w:val="24"/>
        </w:rPr>
      </w:pPr>
      <w:r>
        <w:rPr>
          <w:rFonts w:hint="eastAsia"/>
          <w:sz w:val="24"/>
          <w:szCs w:val="24"/>
        </w:rPr>
        <w:t xml:space="preserve">3.4其它会计核算资料。凡与会计核算紧密相关的，由会计部门负责办理的有参考价值的数据资料。 </w:t>
      </w:r>
    </w:p>
    <w:p>
      <w:pPr>
        <w:spacing w:line="360" w:lineRule="auto"/>
        <w:ind w:firstLine="480" w:firstLineChars="200"/>
        <w:rPr>
          <w:sz w:val="24"/>
          <w:szCs w:val="24"/>
        </w:rPr>
      </w:pPr>
      <w:r>
        <w:rPr>
          <w:rFonts w:hint="eastAsia"/>
          <w:sz w:val="24"/>
          <w:szCs w:val="24"/>
        </w:rPr>
        <w:t xml:space="preserve">3.5增值税专用发票和普通发票。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 xml:space="preserve">4．会计档案的整理 </w:t>
      </w:r>
    </w:p>
    <w:p>
      <w:pPr>
        <w:spacing w:line="360" w:lineRule="auto"/>
        <w:ind w:firstLine="480" w:firstLineChars="200"/>
        <w:rPr>
          <w:sz w:val="24"/>
          <w:szCs w:val="24"/>
        </w:rPr>
      </w:pPr>
      <w:r>
        <w:rPr>
          <w:rFonts w:hint="eastAsia"/>
          <w:sz w:val="24"/>
          <w:szCs w:val="24"/>
        </w:rPr>
        <w:t xml:space="preserve">会计年度终了后，应将装订成册的会计档案进行整理立卷。各种会计档案应按会计档案材料的关联性，分门别类地组成几个类型的案卷，将各卷按顺序编号。 </w:t>
      </w:r>
    </w:p>
    <w:p>
      <w:pPr>
        <w:spacing w:line="360" w:lineRule="auto"/>
        <w:ind w:firstLine="480" w:firstLineChars="200"/>
        <w:rPr>
          <w:sz w:val="24"/>
          <w:szCs w:val="24"/>
        </w:rPr>
      </w:pPr>
      <w:r>
        <w:rPr>
          <w:rFonts w:hint="eastAsia"/>
          <w:sz w:val="24"/>
          <w:szCs w:val="24"/>
        </w:rPr>
        <w:t>4.1会计凭证</w:t>
      </w:r>
    </w:p>
    <w:p>
      <w:pPr>
        <w:spacing w:line="360" w:lineRule="auto"/>
        <w:ind w:firstLine="480" w:firstLineChars="200"/>
        <w:rPr>
          <w:sz w:val="24"/>
          <w:szCs w:val="24"/>
        </w:rPr>
      </w:pPr>
      <w:r>
        <w:rPr>
          <w:rFonts w:hint="eastAsia"/>
          <w:sz w:val="24"/>
          <w:szCs w:val="24"/>
        </w:rPr>
        <w:t xml:space="preserve">（1）按月立卷：每月末将装订成册的凭证，统一登记案卷目录，每月立卷一份。 </w:t>
      </w:r>
    </w:p>
    <w:p>
      <w:pPr>
        <w:spacing w:line="360" w:lineRule="auto"/>
        <w:ind w:firstLine="480" w:firstLineChars="200"/>
        <w:rPr>
          <w:sz w:val="24"/>
          <w:szCs w:val="24"/>
        </w:rPr>
      </w:pPr>
      <w:r>
        <w:rPr>
          <w:rFonts w:hint="eastAsia"/>
          <w:sz w:val="24"/>
          <w:szCs w:val="24"/>
        </w:rPr>
        <w:t xml:space="preserve">（2）分散装订：根据凭证的多少，分散装订，做到整齐、牢固、美观。 </w:t>
      </w:r>
    </w:p>
    <w:p>
      <w:pPr>
        <w:spacing w:line="360" w:lineRule="auto"/>
        <w:ind w:firstLine="480" w:firstLineChars="200"/>
        <w:rPr>
          <w:sz w:val="24"/>
          <w:szCs w:val="24"/>
        </w:rPr>
      </w:pPr>
      <w:r>
        <w:rPr>
          <w:rFonts w:hint="eastAsia"/>
          <w:sz w:val="24"/>
          <w:szCs w:val="24"/>
        </w:rPr>
        <w:t xml:space="preserve">（3）装订封面的所有内容要填写齐全，包括：单位名称、年度、月份、起止日期、号码、装订人签章等。 </w:t>
      </w:r>
    </w:p>
    <w:p>
      <w:pPr>
        <w:spacing w:line="360" w:lineRule="auto"/>
        <w:ind w:firstLine="480" w:firstLineChars="200"/>
        <w:rPr>
          <w:sz w:val="24"/>
          <w:szCs w:val="24"/>
        </w:rPr>
      </w:pPr>
      <w:r>
        <w:rPr>
          <w:rFonts w:hint="eastAsia"/>
          <w:sz w:val="24"/>
          <w:szCs w:val="24"/>
        </w:rPr>
        <w:t>4.2会计账簿</w:t>
      </w:r>
    </w:p>
    <w:p>
      <w:pPr>
        <w:spacing w:line="360" w:lineRule="auto"/>
        <w:ind w:firstLine="480" w:firstLineChars="200"/>
        <w:rPr>
          <w:sz w:val="24"/>
          <w:szCs w:val="24"/>
        </w:rPr>
      </w:pPr>
      <w:r>
        <w:rPr>
          <w:rFonts w:hint="eastAsia"/>
          <w:sz w:val="24"/>
          <w:szCs w:val="24"/>
        </w:rPr>
        <w:t xml:space="preserve">各种会计账簿办理完年度结账后，除跨年使用的账簿外，其它均需整理妥善保管。 </w:t>
      </w:r>
    </w:p>
    <w:p>
      <w:pPr>
        <w:spacing w:line="360" w:lineRule="auto"/>
        <w:ind w:firstLine="480" w:firstLineChars="200"/>
        <w:rPr>
          <w:sz w:val="24"/>
          <w:szCs w:val="24"/>
        </w:rPr>
      </w:pPr>
      <w:r>
        <w:rPr>
          <w:rFonts w:hint="eastAsia"/>
          <w:sz w:val="24"/>
          <w:szCs w:val="24"/>
        </w:rPr>
        <w:t xml:space="preserve">（1）会计账簿在办理完年度结账后，只在下一行的摘要栏填写“结转下年”字样，不填其它内容。 </w:t>
      </w:r>
    </w:p>
    <w:p>
      <w:pPr>
        <w:spacing w:line="360" w:lineRule="auto"/>
        <w:ind w:firstLine="480" w:firstLineChars="200"/>
        <w:rPr>
          <w:sz w:val="24"/>
          <w:szCs w:val="24"/>
        </w:rPr>
      </w:pPr>
      <w:r>
        <w:rPr>
          <w:rFonts w:hint="eastAsia"/>
          <w:sz w:val="24"/>
          <w:szCs w:val="24"/>
        </w:rPr>
        <w:t xml:space="preserve">（2）会计账簿在装订前，应按账簿启用表的使用页数，核对各个账户账面是否齐全，是否按顺序排列。 </w:t>
      </w:r>
    </w:p>
    <w:p>
      <w:pPr>
        <w:spacing w:line="360" w:lineRule="auto"/>
        <w:ind w:firstLine="480" w:firstLineChars="200"/>
        <w:rPr>
          <w:sz w:val="24"/>
          <w:szCs w:val="24"/>
        </w:rPr>
      </w:pPr>
      <w:r>
        <w:rPr>
          <w:rFonts w:hint="eastAsia"/>
          <w:sz w:val="24"/>
          <w:szCs w:val="24"/>
        </w:rPr>
        <w:t xml:space="preserve">（3）活页账簿去空白页后，将本账面数项填写齐全，撤去账尺，用坚固耐磨的纸张做封面、封底，装订成册。不同规格的活页账不得装订在一起。 </w:t>
      </w:r>
    </w:p>
    <w:p>
      <w:pPr>
        <w:spacing w:line="360" w:lineRule="auto"/>
        <w:ind w:firstLine="480" w:firstLineChars="200"/>
        <w:rPr>
          <w:sz w:val="24"/>
          <w:szCs w:val="24"/>
        </w:rPr>
      </w:pPr>
      <w:r>
        <w:rPr>
          <w:rFonts w:hint="eastAsia"/>
          <w:sz w:val="24"/>
          <w:szCs w:val="24"/>
        </w:rPr>
        <w:t xml:space="preserve">（4）会计账簿的装订顺序： </w:t>
      </w:r>
    </w:p>
    <w:p>
      <w:pPr>
        <w:spacing w:line="360" w:lineRule="auto"/>
        <w:ind w:firstLine="480" w:firstLineChars="200"/>
        <w:rPr>
          <w:sz w:val="24"/>
          <w:szCs w:val="24"/>
        </w:rPr>
      </w:pPr>
      <w:r>
        <w:rPr>
          <w:rFonts w:hint="eastAsia"/>
          <w:sz w:val="24"/>
          <w:szCs w:val="24"/>
        </w:rPr>
        <w:t xml:space="preserve">会计账簿装订封面→账簿启用表→账户目录→按本账簿页数顺序装订账页→会计账簿装订封底。 </w:t>
      </w:r>
    </w:p>
    <w:p>
      <w:pPr>
        <w:spacing w:line="360" w:lineRule="auto"/>
        <w:ind w:firstLine="480" w:firstLineChars="200"/>
        <w:rPr>
          <w:sz w:val="24"/>
          <w:szCs w:val="24"/>
        </w:rPr>
      </w:pPr>
      <w:r>
        <w:rPr>
          <w:rFonts w:hint="eastAsia"/>
          <w:sz w:val="24"/>
          <w:szCs w:val="24"/>
        </w:rPr>
        <w:t xml:space="preserve">（5）装订后的会计账簿应牢固、平整、不得有折角，掉页现象。 </w:t>
      </w:r>
    </w:p>
    <w:p>
      <w:pPr>
        <w:spacing w:line="360" w:lineRule="auto"/>
        <w:ind w:firstLine="480" w:firstLineChars="200"/>
        <w:rPr>
          <w:sz w:val="24"/>
          <w:szCs w:val="24"/>
        </w:rPr>
      </w:pPr>
      <w:r>
        <w:rPr>
          <w:rFonts w:hint="eastAsia"/>
          <w:sz w:val="24"/>
          <w:szCs w:val="24"/>
        </w:rPr>
        <w:t xml:space="preserve">（6）账簿装订的封口处，应加盖装订人印章。 </w:t>
      </w:r>
      <w:r>
        <w:rPr>
          <w:rFonts w:hint="eastAsia"/>
          <w:sz w:val="24"/>
          <w:szCs w:val="24"/>
        </w:rPr>
        <w:tab/>
      </w:r>
    </w:p>
    <w:p>
      <w:pPr>
        <w:spacing w:line="360" w:lineRule="auto"/>
        <w:ind w:firstLine="480" w:firstLineChars="200"/>
        <w:rPr>
          <w:sz w:val="24"/>
          <w:szCs w:val="24"/>
        </w:rPr>
      </w:pPr>
      <w:r>
        <w:rPr>
          <w:rFonts w:hint="eastAsia"/>
          <w:sz w:val="24"/>
          <w:szCs w:val="24"/>
        </w:rPr>
        <w:t xml:space="preserve">（7）装订后，会计账簿的脊背应平整，并注明所属年度及账簿名称和编号。 </w:t>
      </w:r>
    </w:p>
    <w:p>
      <w:pPr>
        <w:spacing w:line="360" w:lineRule="auto"/>
        <w:ind w:firstLine="480" w:firstLineChars="200"/>
        <w:rPr>
          <w:sz w:val="24"/>
          <w:szCs w:val="24"/>
        </w:rPr>
      </w:pPr>
      <w:r>
        <w:rPr>
          <w:rFonts w:hint="eastAsia"/>
          <w:sz w:val="24"/>
          <w:szCs w:val="24"/>
        </w:rPr>
        <w:t xml:space="preserve">（8）会计账簿的编号为一年一编，编号顺序为总账、现金日记账、银行存（借）款日记账、分户明细账、辅助账。 </w:t>
      </w:r>
    </w:p>
    <w:p>
      <w:pPr>
        <w:spacing w:line="360" w:lineRule="auto"/>
        <w:ind w:firstLine="480" w:firstLineChars="200"/>
        <w:rPr>
          <w:sz w:val="24"/>
          <w:szCs w:val="24"/>
        </w:rPr>
      </w:pPr>
      <w:r>
        <w:rPr>
          <w:rFonts w:hint="eastAsia"/>
          <w:sz w:val="24"/>
          <w:szCs w:val="24"/>
        </w:rPr>
        <w:t xml:space="preserve">4.3会计报表 </w:t>
      </w:r>
    </w:p>
    <w:p>
      <w:pPr>
        <w:spacing w:line="360" w:lineRule="auto"/>
        <w:ind w:firstLine="480" w:firstLineChars="200"/>
        <w:rPr>
          <w:sz w:val="24"/>
          <w:szCs w:val="24"/>
        </w:rPr>
      </w:pPr>
      <w:r>
        <w:rPr>
          <w:rFonts w:hint="eastAsia"/>
          <w:sz w:val="24"/>
          <w:szCs w:val="24"/>
        </w:rPr>
        <w:t xml:space="preserve">会计报表编制完成并按时报送后，留存报表均应按月装订成册，年度终了统一归档保管。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 xml:space="preserve">5．会计档案的归档保管 </w:t>
      </w:r>
    </w:p>
    <w:p>
      <w:pPr>
        <w:spacing w:line="360" w:lineRule="auto"/>
        <w:ind w:firstLine="480" w:firstLineChars="200"/>
        <w:rPr>
          <w:sz w:val="24"/>
          <w:szCs w:val="24"/>
        </w:rPr>
      </w:pPr>
      <w:r>
        <w:rPr>
          <w:rFonts w:hint="eastAsia"/>
          <w:sz w:val="24"/>
          <w:szCs w:val="24"/>
        </w:rPr>
        <w:t xml:space="preserve">5.1当年的会计档案在会计年度终了后，可暂由财务部门保管一年，期满后存入档案并由专人保管。 </w:t>
      </w:r>
    </w:p>
    <w:p>
      <w:pPr>
        <w:spacing w:line="360" w:lineRule="auto"/>
        <w:ind w:firstLine="480" w:firstLineChars="200"/>
        <w:rPr>
          <w:sz w:val="24"/>
          <w:szCs w:val="24"/>
        </w:rPr>
      </w:pPr>
      <w:r>
        <w:rPr>
          <w:rFonts w:hint="eastAsia"/>
          <w:sz w:val="24"/>
          <w:szCs w:val="24"/>
        </w:rPr>
        <w:t xml:space="preserve">5.2会计档案管理人员负责全部会计档案的整理、立卷、保管、调阅、销毁等一系列工作。 </w:t>
      </w:r>
    </w:p>
    <w:p>
      <w:pPr>
        <w:spacing w:line="360" w:lineRule="auto"/>
        <w:ind w:firstLine="480" w:firstLineChars="200"/>
        <w:rPr>
          <w:sz w:val="24"/>
          <w:szCs w:val="24"/>
        </w:rPr>
      </w:pPr>
      <w:r>
        <w:rPr>
          <w:rFonts w:hint="eastAsia"/>
          <w:sz w:val="24"/>
          <w:szCs w:val="24"/>
        </w:rPr>
        <w:t xml:space="preserve">5.3机构变动或档案管理人员调动时，应办理交接手续，由原管理人员编制会计档案移交清册，将全部案卷逐一点交，接管人员逐一接收。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 xml:space="preserve">6．会计档案的借阅使用 </w:t>
      </w:r>
    </w:p>
    <w:p>
      <w:pPr>
        <w:spacing w:line="360" w:lineRule="auto"/>
        <w:ind w:firstLine="480" w:firstLineChars="200"/>
        <w:rPr>
          <w:sz w:val="24"/>
          <w:szCs w:val="24"/>
        </w:rPr>
      </w:pPr>
      <w:r>
        <w:rPr>
          <w:rFonts w:hint="eastAsia"/>
          <w:sz w:val="24"/>
          <w:szCs w:val="24"/>
        </w:rPr>
        <w:t xml:space="preserve">6.1财务部建立会计档案清册和借阅登记清册。 </w:t>
      </w:r>
    </w:p>
    <w:p>
      <w:pPr>
        <w:spacing w:line="360" w:lineRule="auto"/>
        <w:ind w:firstLine="480" w:firstLineChars="200"/>
        <w:rPr>
          <w:sz w:val="24"/>
          <w:szCs w:val="24"/>
        </w:rPr>
      </w:pPr>
      <w:r>
        <w:rPr>
          <w:rFonts w:hint="eastAsia"/>
          <w:sz w:val="24"/>
          <w:szCs w:val="24"/>
        </w:rPr>
        <w:t xml:space="preserve">6.2凡需借会计档案人员，须经财务负责人或单位领导批准后，方可办理调阅手续。 </w:t>
      </w:r>
    </w:p>
    <w:p>
      <w:pPr>
        <w:spacing w:line="360" w:lineRule="auto"/>
        <w:ind w:firstLine="480" w:firstLineChars="200"/>
        <w:rPr>
          <w:sz w:val="24"/>
          <w:szCs w:val="24"/>
        </w:rPr>
      </w:pPr>
      <w:r>
        <w:rPr>
          <w:rFonts w:hint="eastAsia"/>
          <w:sz w:val="24"/>
          <w:szCs w:val="24"/>
        </w:rPr>
        <w:t xml:space="preserve">6.3借阅会计档案人员，不得在案卷中标画，不得拆散原卷册，更不得抽换。 </w:t>
      </w:r>
    </w:p>
    <w:p>
      <w:pPr>
        <w:spacing w:line="360" w:lineRule="auto"/>
        <w:ind w:firstLine="480" w:firstLineChars="200"/>
        <w:rPr>
          <w:sz w:val="24"/>
          <w:szCs w:val="24"/>
        </w:rPr>
      </w:pPr>
      <w:r>
        <w:rPr>
          <w:rFonts w:hint="eastAsia"/>
          <w:sz w:val="24"/>
          <w:szCs w:val="24"/>
        </w:rPr>
        <w:t xml:space="preserve">6.4借阅会计档案人员，不得将会计档案携带外出，特殊情况，须经单位领导批准需 </w:t>
      </w:r>
    </w:p>
    <w:p>
      <w:pPr>
        <w:spacing w:line="360" w:lineRule="auto"/>
        <w:ind w:firstLine="480" w:firstLineChars="200"/>
        <w:rPr>
          <w:sz w:val="24"/>
          <w:szCs w:val="24"/>
        </w:rPr>
      </w:pPr>
      <w:r>
        <w:rPr>
          <w:rFonts w:hint="eastAsia"/>
          <w:sz w:val="24"/>
          <w:szCs w:val="24"/>
        </w:rPr>
        <w:t xml:space="preserve">6.5需要复制会计档案的，须经财务负责人或单位领导批准后方可复制。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 xml:space="preserve">7．各种会计档案保管期限 </w:t>
      </w:r>
    </w:p>
    <w:p>
      <w:pPr>
        <w:spacing w:line="360" w:lineRule="auto"/>
        <w:ind w:firstLine="480" w:firstLineChars="200"/>
        <w:rPr>
          <w:sz w:val="24"/>
          <w:szCs w:val="24"/>
        </w:rPr>
      </w:pPr>
      <w:r>
        <w:rPr>
          <w:rFonts w:hint="eastAsia"/>
          <w:sz w:val="24"/>
          <w:szCs w:val="24"/>
        </w:rPr>
        <w:t xml:space="preserve">7.1会计凭证保管15年。 </w:t>
      </w:r>
    </w:p>
    <w:p>
      <w:pPr>
        <w:spacing w:line="360" w:lineRule="auto"/>
        <w:ind w:firstLine="480" w:firstLineChars="200"/>
        <w:rPr>
          <w:sz w:val="24"/>
          <w:szCs w:val="24"/>
        </w:rPr>
      </w:pPr>
      <w:r>
        <w:rPr>
          <w:rFonts w:hint="eastAsia"/>
          <w:sz w:val="24"/>
          <w:szCs w:val="24"/>
        </w:rPr>
        <w:t xml:space="preserve">7.2会计账簿保存15年，其中现金和银行存款日记账保存25年。 </w:t>
      </w:r>
    </w:p>
    <w:p>
      <w:pPr>
        <w:spacing w:line="360" w:lineRule="auto"/>
        <w:ind w:firstLine="480" w:firstLineChars="200"/>
        <w:rPr>
          <w:sz w:val="24"/>
          <w:szCs w:val="24"/>
        </w:rPr>
      </w:pPr>
      <w:r>
        <w:rPr>
          <w:rFonts w:hint="eastAsia"/>
          <w:sz w:val="24"/>
          <w:szCs w:val="24"/>
        </w:rPr>
        <w:t xml:space="preserve">7.3会计报表保存10年，其中年度决算表永久保存。 </w:t>
      </w:r>
    </w:p>
    <w:p>
      <w:pPr>
        <w:spacing w:line="360" w:lineRule="auto"/>
        <w:ind w:firstLine="480" w:firstLineChars="200"/>
        <w:rPr>
          <w:sz w:val="24"/>
          <w:szCs w:val="24"/>
        </w:rPr>
      </w:pPr>
      <w:r>
        <w:rPr>
          <w:rFonts w:hint="eastAsia"/>
          <w:sz w:val="24"/>
          <w:szCs w:val="24"/>
        </w:rPr>
        <w:t xml:space="preserve">7.4发货票保管5年。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 xml:space="preserve">8．会计档案的销毁 </w:t>
      </w:r>
    </w:p>
    <w:p>
      <w:pPr>
        <w:spacing w:line="360" w:lineRule="auto"/>
        <w:ind w:firstLine="480" w:firstLineChars="200"/>
        <w:rPr>
          <w:sz w:val="24"/>
          <w:szCs w:val="24"/>
        </w:rPr>
      </w:pPr>
      <w:r>
        <w:rPr>
          <w:rFonts w:hint="eastAsia"/>
          <w:sz w:val="24"/>
          <w:szCs w:val="24"/>
        </w:rPr>
        <w:t xml:space="preserve">8.1会计档案保管期满，需要销毁时由档案负责部门提出销毁清单，汇同财务部门共同鉴定后，编制会计档案销毁清册，报经基金会秘书长和上级主管部门批准后，方可销毁。对其中未了结的债权、债务的原始凭证，应单独抽出，另行立卷，由档案部门保管到结清债权、债务时为止。 </w:t>
      </w:r>
    </w:p>
    <w:p>
      <w:pPr>
        <w:spacing w:line="360" w:lineRule="auto"/>
        <w:ind w:firstLine="480" w:firstLineChars="200"/>
        <w:rPr>
          <w:sz w:val="24"/>
          <w:szCs w:val="24"/>
        </w:rPr>
      </w:pPr>
      <w:r>
        <w:rPr>
          <w:rFonts w:hint="eastAsia"/>
          <w:sz w:val="24"/>
          <w:szCs w:val="24"/>
        </w:rPr>
        <w:t xml:space="preserve">8.2按规定销毁会计档案时，应由档案部门和财会部门、审计部门共同派人监销，监销人在销毁会计档案之前要认真清点、核对，销毁后，在销毁清册上签名盖章，并将监销情况以书面形式报告有关领导。 </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 xml:space="preserve">9．附则 </w:t>
      </w:r>
    </w:p>
    <w:p>
      <w:pPr>
        <w:spacing w:line="360" w:lineRule="auto"/>
        <w:ind w:firstLine="480" w:firstLineChars="200"/>
        <w:rPr>
          <w:sz w:val="24"/>
          <w:szCs w:val="24"/>
        </w:rPr>
      </w:pPr>
      <w:r>
        <w:rPr>
          <w:rFonts w:hint="eastAsia"/>
          <w:sz w:val="24"/>
          <w:szCs w:val="24"/>
        </w:rPr>
        <w:t xml:space="preserve">9.本制度自颁布之日起实施，未涉及情况按国家有关规定处理。 </w:t>
      </w:r>
    </w:p>
    <w:p>
      <w:pPr>
        <w:spacing w:line="360" w:lineRule="auto"/>
        <w:ind w:firstLine="480" w:firstLineChars="200"/>
        <w:rPr>
          <w:sz w:val="24"/>
          <w:szCs w:val="24"/>
        </w:rPr>
      </w:pPr>
      <w:r>
        <w:rPr>
          <w:rFonts w:hint="eastAsia"/>
          <w:sz w:val="24"/>
          <w:szCs w:val="24"/>
        </w:rPr>
        <w:t>9.2本制度由秘书长监督实施。</w:t>
      </w:r>
    </w:p>
    <w:p>
      <w:pPr>
        <w:spacing w:line="360" w:lineRule="auto"/>
        <w:ind w:firstLine="480" w:firstLineChars="200"/>
        <w:rPr>
          <w:sz w:val="24"/>
          <w:szCs w:val="24"/>
        </w:rPr>
      </w:pPr>
    </w:p>
    <w:p>
      <w:pPr>
        <w:spacing w:before="156" w:beforeLines="50" w:after="156" w:afterLines="50" w:line="360" w:lineRule="auto"/>
        <w:jc w:val="center"/>
        <w:outlineLvl w:val="1"/>
        <w:rPr>
          <w:rFonts w:ascii="黑体" w:hAnsi="黑体" w:eastAsia="黑体"/>
          <w:b/>
          <w:sz w:val="32"/>
          <w:szCs w:val="32"/>
        </w:rPr>
      </w:pPr>
      <w:bookmarkStart w:id="30" w:name="_Toc5485"/>
      <w:bookmarkStart w:id="31" w:name="_Toc403829189"/>
      <w:r>
        <w:rPr>
          <w:rFonts w:hint="eastAsia" w:ascii="黑体" w:hAnsi="黑体" w:eastAsia="黑体"/>
          <w:b/>
          <w:sz w:val="32"/>
          <w:szCs w:val="32"/>
        </w:rPr>
        <w:t>十</w:t>
      </w:r>
      <w:r>
        <w:rPr>
          <w:rFonts w:hint="eastAsia" w:ascii="黑体" w:hAnsi="黑体" w:eastAsia="黑体"/>
          <w:b/>
          <w:sz w:val="32"/>
          <w:szCs w:val="32"/>
          <w:lang w:val="en-US" w:eastAsia="zh-CN"/>
        </w:rPr>
        <w:t>七</w:t>
      </w:r>
      <w:r>
        <w:rPr>
          <w:rFonts w:hint="eastAsia" w:ascii="黑体" w:hAnsi="黑体" w:eastAsia="黑体"/>
          <w:b/>
          <w:sz w:val="32"/>
          <w:szCs w:val="32"/>
        </w:rPr>
        <w:t xml:space="preserve"> </w:t>
      </w:r>
      <w:r>
        <w:rPr>
          <w:rFonts w:hint="eastAsia" w:ascii="黑体" w:hAnsi="黑体" w:eastAsia="黑体"/>
          <w:b/>
          <w:sz w:val="32"/>
          <w:szCs w:val="32"/>
          <w:lang w:eastAsia="zh-CN"/>
        </w:rPr>
        <w:t>北京天地文化发展</w:t>
      </w:r>
      <w:r>
        <w:rPr>
          <w:rFonts w:hint="eastAsia" w:ascii="黑体" w:hAnsi="黑体" w:eastAsia="黑体"/>
          <w:b/>
          <w:sz w:val="32"/>
          <w:szCs w:val="32"/>
        </w:rPr>
        <w:t>基金会票据管理制度</w:t>
      </w:r>
      <w:bookmarkEnd w:id="30"/>
      <w:bookmarkEnd w:id="31"/>
    </w:p>
    <w:p>
      <w:pPr>
        <w:spacing w:line="360" w:lineRule="auto"/>
        <w:ind w:firstLine="480" w:firstLineChars="200"/>
        <w:rPr>
          <w:sz w:val="24"/>
          <w:szCs w:val="24"/>
        </w:rPr>
      </w:pPr>
      <w:r>
        <w:rPr>
          <w:rFonts w:hint="eastAsia"/>
          <w:sz w:val="24"/>
          <w:szCs w:val="24"/>
        </w:rPr>
        <w:t>本规定所称票据，是指基金会常用的发票和公益事业捐赠票据。</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 发票</w:t>
      </w:r>
    </w:p>
    <w:p>
      <w:pPr>
        <w:spacing w:line="360" w:lineRule="auto"/>
        <w:ind w:firstLine="480" w:firstLineChars="200"/>
        <w:rPr>
          <w:sz w:val="24"/>
          <w:szCs w:val="24"/>
        </w:rPr>
      </w:pPr>
      <w:r>
        <w:rPr>
          <w:rFonts w:hint="eastAsia"/>
          <w:sz w:val="24"/>
          <w:szCs w:val="24"/>
        </w:rPr>
        <w:t>1.1基金会常见的发票分为对外开出的发票和从外取得的发票。</w:t>
      </w:r>
    </w:p>
    <w:p>
      <w:pPr>
        <w:spacing w:line="360" w:lineRule="auto"/>
        <w:ind w:firstLine="480" w:firstLineChars="200"/>
        <w:rPr>
          <w:sz w:val="24"/>
          <w:szCs w:val="24"/>
        </w:rPr>
      </w:pPr>
      <w:r>
        <w:rPr>
          <w:rFonts w:hint="eastAsia"/>
          <w:sz w:val="24"/>
          <w:szCs w:val="24"/>
        </w:rPr>
        <w:t>1.1.1对外开出的发票是基金会经营服务活动取得收入时向付款单位开具的发票，也就是现行的机打发票，它是付款单位的付款凭证，也是基金会经营服务性收入凭证，应按序号出具发票，按记账联如实登记基金会的相关账户。</w:t>
      </w:r>
    </w:p>
    <w:p>
      <w:pPr>
        <w:spacing w:line="360" w:lineRule="auto"/>
        <w:ind w:firstLine="480" w:firstLineChars="200"/>
        <w:rPr>
          <w:sz w:val="24"/>
          <w:szCs w:val="24"/>
        </w:rPr>
      </w:pPr>
      <w:r>
        <w:rPr>
          <w:rFonts w:hint="eastAsia"/>
          <w:sz w:val="24"/>
          <w:szCs w:val="24"/>
        </w:rPr>
        <w:t>1.1.2从外取得的发票是指基金会在公益性活动中所支付的各项费用取得的付款凭证，应符合国家有关规定。</w:t>
      </w:r>
    </w:p>
    <w:p>
      <w:pPr>
        <w:spacing w:line="360" w:lineRule="auto"/>
        <w:ind w:firstLine="480" w:firstLineChars="200"/>
        <w:rPr>
          <w:sz w:val="24"/>
          <w:szCs w:val="24"/>
        </w:rPr>
      </w:pPr>
      <w:r>
        <w:rPr>
          <w:rFonts w:hint="eastAsia"/>
          <w:sz w:val="24"/>
          <w:szCs w:val="24"/>
        </w:rPr>
        <w:t>1.2发票的管理</w:t>
      </w:r>
    </w:p>
    <w:p>
      <w:pPr>
        <w:spacing w:line="360" w:lineRule="auto"/>
        <w:ind w:firstLine="480" w:firstLineChars="200"/>
        <w:rPr>
          <w:sz w:val="24"/>
          <w:szCs w:val="24"/>
        </w:rPr>
      </w:pPr>
      <w:r>
        <w:rPr>
          <w:rFonts w:hint="eastAsia"/>
          <w:sz w:val="24"/>
          <w:szCs w:val="24"/>
        </w:rPr>
        <w:t>基金会应严格执行《中华人民共和国发票管理办法》，按发票的领用、登记、专人保管等规定执行，不得伪造、变造、转借、代开发票，不符合规定的发票不得作为财务报销凭证。</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2.公益事业捐赠票据</w:t>
      </w:r>
    </w:p>
    <w:p>
      <w:pPr>
        <w:spacing w:line="360" w:lineRule="auto"/>
        <w:ind w:firstLine="480" w:firstLineChars="200"/>
        <w:rPr>
          <w:sz w:val="24"/>
          <w:szCs w:val="24"/>
        </w:rPr>
      </w:pPr>
      <w:r>
        <w:rPr>
          <w:rFonts w:hint="eastAsia"/>
          <w:sz w:val="24"/>
          <w:szCs w:val="24"/>
        </w:rPr>
        <w:t>2.1公益事业捐赠票据（以下简称捐赠票据），是指各级人民政府及其部门、公益性事业单位、公益性社会团体及其他公益性组织（以下简称公益性单位）按照自愿、无偿原则，依法接受并用于公益事业的捐赠财物时，向提供捐赠的自然人、法人和其他组织开具的凭证。</w:t>
      </w:r>
    </w:p>
    <w:p>
      <w:pPr>
        <w:spacing w:line="360" w:lineRule="auto"/>
        <w:ind w:firstLine="480" w:firstLineChars="200"/>
        <w:rPr>
          <w:sz w:val="24"/>
          <w:szCs w:val="24"/>
        </w:rPr>
      </w:pPr>
      <w:r>
        <w:rPr>
          <w:rFonts w:hint="eastAsia"/>
          <w:sz w:val="24"/>
          <w:szCs w:val="24"/>
        </w:rPr>
        <w:t>2.2捐赠票据的管理</w:t>
      </w:r>
    </w:p>
    <w:p>
      <w:pPr>
        <w:spacing w:line="360" w:lineRule="auto"/>
        <w:ind w:firstLine="480" w:firstLineChars="200"/>
        <w:rPr>
          <w:sz w:val="24"/>
          <w:szCs w:val="24"/>
        </w:rPr>
      </w:pPr>
      <w:r>
        <w:rPr>
          <w:rFonts w:hint="eastAsia"/>
          <w:sz w:val="24"/>
          <w:szCs w:val="24"/>
        </w:rPr>
        <w:t>基金会应严格执行《公益事业捐赠票据使用管理暂行办法》</w:t>
      </w:r>
    </w:p>
    <w:p>
      <w:pPr>
        <w:spacing w:line="360" w:lineRule="auto"/>
        <w:ind w:firstLine="480" w:firstLineChars="200"/>
        <w:rPr>
          <w:sz w:val="24"/>
          <w:szCs w:val="24"/>
        </w:rPr>
      </w:pPr>
      <w:r>
        <w:rPr>
          <w:rFonts w:hint="eastAsia"/>
          <w:sz w:val="24"/>
          <w:szCs w:val="24"/>
        </w:rPr>
        <w:t>（1）使用捐赠票据，应当建立捐赠票据购买使用登记管理制度，建立登记簿，登记购买册数，使用和交回册数。</w:t>
      </w:r>
    </w:p>
    <w:p>
      <w:pPr>
        <w:spacing w:line="360" w:lineRule="auto"/>
        <w:ind w:firstLine="480" w:firstLineChars="200"/>
        <w:rPr>
          <w:sz w:val="24"/>
          <w:szCs w:val="24"/>
        </w:rPr>
      </w:pPr>
      <w:r>
        <w:rPr>
          <w:rFonts w:hint="eastAsia"/>
          <w:sz w:val="24"/>
          <w:szCs w:val="24"/>
        </w:rPr>
        <w:t>（2）捐赠票据应当按编号顺序使用。</w:t>
      </w:r>
    </w:p>
    <w:p>
      <w:pPr>
        <w:spacing w:line="360" w:lineRule="auto"/>
        <w:ind w:firstLine="480" w:firstLineChars="200"/>
        <w:rPr>
          <w:sz w:val="24"/>
          <w:szCs w:val="24"/>
        </w:rPr>
      </w:pPr>
      <w:r>
        <w:rPr>
          <w:rFonts w:hint="eastAsia"/>
          <w:sz w:val="24"/>
          <w:szCs w:val="24"/>
        </w:rPr>
        <w:t>（3）作废的捐赠票据应将三联订在一起，盖上“作废”戳记。</w:t>
      </w:r>
    </w:p>
    <w:p>
      <w:pPr>
        <w:spacing w:line="360" w:lineRule="auto"/>
        <w:ind w:firstLine="480" w:firstLineChars="200"/>
        <w:rPr>
          <w:sz w:val="24"/>
          <w:szCs w:val="24"/>
        </w:rPr>
      </w:pPr>
      <w:r>
        <w:rPr>
          <w:rFonts w:hint="eastAsia"/>
          <w:sz w:val="24"/>
          <w:szCs w:val="24"/>
        </w:rPr>
        <w:t>（4）捐赠票据的使用、保管、监督，应纳入财务档案统一管理。</w:t>
      </w:r>
    </w:p>
    <w:p>
      <w:pPr>
        <w:spacing w:line="360" w:lineRule="auto"/>
        <w:ind w:firstLine="480" w:firstLineChars="200"/>
        <w:rPr>
          <w:sz w:val="24"/>
          <w:szCs w:val="24"/>
        </w:rPr>
      </w:pPr>
      <w:r>
        <w:rPr>
          <w:rFonts w:hint="eastAsia"/>
          <w:sz w:val="24"/>
          <w:szCs w:val="24"/>
        </w:rPr>
        <w:t>（5）捐赠票据应按《公益事业捐赠票据使用管理暂行办法》的规定，及时到财政局票据管理中心做捐赠票据的核旧购新。</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 附则</w:t>
      </w:r>
    </w:p>
    <w:p>
      <w:pPr>
        <w:spacing w:line="360" w:lineRule="auto"/>
        <w:ind w:firstLine="480" w:firstLineChars="200"/>
        <w:rPr>
          <w:sz w:val="24"/>
          <w:szCs w:val="24"/>
        </w:rPr>
      </w:pPr>
      <w:r>
        <w:rPr>
          <w:rFonts w:hint="eastAsia"/>
          <w:sz w:val="24"/>
          <w:szCs w:val="24"/>
        </w:rPr>
        <w:t>3.1本制度自颁布之日起实施，未涉及情况按国家有关规定处理。</w:t>
      </w:r>
    </w:p>
    <w:p>
      <w:pPr>
        <w:spacing w:line="360" w:lineRule="auto"/>
        <w:ind w:firstLine="480" w:firstLineChars="200"/>
        <w:rPr>
          <w:sz w:val="24"/>
          <w:szCs w:val="24"/>
        </w:rPr>
      </w:pPr>
      <w:r>
        <w:rPr>
          <w:rFonts w:hint="eastAsia"/>
          <w:sz w:val="24"/>
          <w:szCs w:val="24"/>
        </w:rPr>
        <w:t>3.2本制度由秘书长监督实施。</w:t>
      </w:r>
    </w:p>
    <w:p>
      <w:pPr>
        <w:spacing w:line="360" w:lineRule="auto"/>
        <w:rPr>
          <w:sz w:val="24"/>
          <w:szCs w:val="24"/>
        </w:rPr>
      </w:pPr>
    </w:p>
    <w:p>
      <w:pPr>
        <w:spacing w:line="360" w:lineRule="auto"/>
        <w:ind w:firstLine="480" w:firstLineChars="200"/>
        <w:rPr>
          <w:sz w:val="24"/>
          <w:szCs w:val="24"/>
        </w:rPr>
      </w:pPr>
    </w:p>
    <w:p>
      <w:pPr>
        <w:spacing w:before="156" w:beforeLines="50" w:after="156" w:afterLines="50" w:line="360" w:lineRule="auto"/>
        <w:jc w:val="center"/>
        <w:outlineLvl w:val="1"/>
        <w:rPr>
          <w:rFonts w:ascii="黑体" w:hAnsi="黑体" w:eastAsia="黑体"/>
          <w:b/>
          <w:sz w:val="32"/>
          <w:szCs w:val="32"/>
        </w:rPr>
      </w:pPr>
      <w:bookmarkStart w:id="32" w:name="_Toc19677"/>
      <w:bookmarkStart w:id="33" w:name="_Toc403829190"/>
      <w:r>
        <w:rPr>
          <w:rFonts w:hint="eastAsia" w:ascii="黑体" w:hAnsi="黑体" w:eastAsia="黑体"/>
          <w:b/>
          <w:sz w:val="32"/>
          <w:szCs w:val="32"/>
        </w:rPr>
        <w:t>十</w:t>
      </w:r>
      <w:r>
        <w:rPr>
          <w:rFonts w:hint="eastAsia" w:ascii="黑体" w:hAnsi="黑体" w:eastAsia="黑体"/>
          <w:b/>
          <w:sz w:val="32"/>
          <w:szCs w:val="32"/>
          <w:lang w:val="en-US" w:eastAsia="zh-CN"/>
        </w:rPr>
        <w:t>八</w:t>
      </w:r>
      <w:r>
        <w:rPr>
          <w:rFonts w:hint="eastAsia" w:ascii="黑体" w:hAnsi="黑体" w:eastAsia="黑体"/>
          <w:b/>
          <w:sz w:val="32"/>
          <w:szCs w:val="32"/>
        </w:rPr>
        <w:t xml:space="preserve"> </w:t>
      </w:r>
      <w:r>
        <w:rPr>
          <w:rFonts w:hint="eastAsia" w:ascii="黑体" w:hAnsi="黑体" w:eastAsia="黑体"/>
          <w:b/>
          <w:sz w:val="32"/>
          <w:szCs w:val="32"/>
          <w:lang w:eastAsia="zh-CN"/>
        </w:rPr>
        <w:t>北京天地文化发展</w:t>
      </w:r>
      <w:r>
        <w:rPr>
          <w:rFonts w:hint="eastAsia" w:ascii="黑体" w:hAnsi="黑体" w:eastAsia="黑体"/>
          <w:b/>
          <w:sz w:val="32"/>
          <w:szCs w:val="32"/>
        </w:rPr>
        <w:t>基金会人力资源管理制度</w:t>
      </w:r>
      <w:bookmarkEnd w:id="32"/>
      <w:bookmarkEnd w:id="33"/>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 为规范</w:t>
      </w:r>
      <w:r>
        <w:rPr>
          <w:rFonts w:hint="eastAsia"/>
          <w:sz w:val="24"/>
          <w:szCs w:val="24"/>
          <w:lang w:eastAsia="zh-CN"/>
        </w:rPr>
        <w:t>北京天地文化发展</w:t>
      </w:r>
      <w:r>
        <w:rPr>
          <w:rFonts w:hint="eastAsia"/>
          <w:sz w:val="24"/>
          <w:szCs w:val="24"/>
        </w:rPr>
        <w:t>基金会（以下简称“本基金会”）的人力资源管理，特制定本制度。</w:t>
      </w:r>
    </w:p>
    <w:p>
      <w:pPr>
        <w:spacing w:line="360" w:lineRule="auto"/>
        <w:ind w:firstLine="480" w:firstLineChars="200"/>
        <w:rPr>
          <w:sz w:val="24"/>
          <w:szCs w:val="24"/>
        </w:rPr>
      </w:pPr>
      <w:r>
        <w:rPr>
          <w:rFonts w:hint="eastAsia"/>
          <w:sz w:val="24"/>
          <w:szCs w:val="24"/>
        </w:rPr>
        <w:t>1.2 本基金会逐步建立起专业、全面、系统、实用的人力资源发展规划。</w:t>
      </w:r>
    </w:p>
    <w:p>
      <w:pPr>
        <w:spacing w:line="360" w:lineRule="auto"/>
        <w:ind w:firstLine="480" w:firstLineChars="200"/>
        <w:rPr>
          <w:sz w:val="24"/>
          <w:szCs w:val="24"/>
        </w:rPr>
      </w:pPr>
      <w:r>
        <w:rPr>
          <w:rFonts w:hint="eastAsia"/>
          <w:sz w:val="24"/>
          <w:szCs w:val="24"/>
        </w:rPr>
        <w:t>1.3 本基金会员工的人力资源管理事项除国家有关规定外，皆按本管理制度办理。</w:t>
      </w:r>
    </w:p>
    <w:p>
      <w:pPr>
        <w:spacing w:line="360" w:lineRule="auto"/>
        <w:ind w:firstLine="480" w:firstLineChars="200"/>
        <w:rPr>
          <w:sz w:val="24"/>
          <w:szCs w:val="24"/>
        </w:rPr>
      </w:pPr>
      <w:r>
        <w:rPr>
          <w:rFonts w:hint="eastAsia"/>
          <w:sz w:val="24"/>
          <w:szCs w:val="24"/>
        </w:rPr>
        <w:t>1.4 本管理制度适用于本基金会全体员工。</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2．员工招聘与试用</w:t>
      </w:r>
    </w:p>
    <w:p>
      <w:pPr>
        <w:spacing w:line="360" w:lineRule="auto"/>
        <w:ind w:firstLine="480" w:firstLineChars="200"/>
        <w:rPr>
          <w:sz w:val="24"/>
          <w:szCs w:val="24"/>
        </w:rPr>
      </w:pPr>
      <w:r>
        <w:rPr>
          <w:rFonts w:hint="eastAsia"/>
          <w:sz w:val="24"/>
          <w:szCs w:val="24"/>
        </w:rPr>
        <w:t>2.1本基金会所需员工，一律公开条件，在本基金会内部甄选或对社会招聘。</w:t>
      </w:r>
    </w:p>
    <w:p>
      <w:pPr>
        <w:spacing w:line="360" w:lineRule="auto"/>
        <w:ind w:firstLine="480" w:firstLineChars="200"/>
        <w:rPr>
          <w:sz w:val="24"/>
          <w:szCs w:val="24"/>
        </w:rPr>
      </w:pPr>
      <w:r>
        <w:rPr>
          <w:rFonts w:hint="eastAsia"/>
          <w:sz w:val="24"/>
          <w:szCs w:val="24"/>
        </w:rPr>
        <w:t>2.2本基金会聘用各级员工以公开招聘、平等竞争、严格考核、择优录取为原则；注重员工的学识、品德、能力、经验，但特殊需要时不在此限。</w:t>
      </w:r>
    </w:p>
    <w:p>
      <w:pPr>
        <w:spacing w:line="360" w:lineRule="auto"/>
        <w:ind w:firstLine="480" w:firstLineChars="200"/>
        <w:rPr>
          <w:sz w:val="24"/>
          <w:szCs w:val="24"/>
        </w:rPr>
      </w:pPr>
      <w:r>
        <w:rPr>
          <w:rFonts w:hint="eastAsia"/>
          <w:sz w:val="24"/>
          <w:szCs w:val="24"/>
        </w:rPr>
        <w:t>2.3 本基金会按照公开、规范、专业的招聘程序开展人员招聘员工。</w:t>
      </w:r>
    </w:p>
    <w:p>
      <w:pPr>
        <w:spacing w:line="360" w:lineRule="auto"/>
        <w:ind w:firstLine="480" w:firstLineChars="200"/>
        <w:rPr>
          <w:sz w:val="24"/>
          <w:szCs w:val="24"/>
        </w:rPr>
      </w:pPr>
      <w:r>
        <w:rPr>
          <w:rFonts w:hint="eastAsia"/>
          <w:sz w:val="24"/>
          <w:szCs w:val="24"/>
        </w:rPr>
        <w:t>2.4 入职程序：</w:t>
      </w:r>
    </w:p>
    <w:p>
      <w:pPr>
        <w:spacing w:line="360" w:lineRule="auto"/>
        <w:ind w:firstLine="480" w:firstLineChars="200"/>
        <w:rPr>
          <w:sz w:val="24"/>
          <w:szCs w:val="24"/>
        </w:rPr>
      </w:pPr>
      <w:r>
        <w:rPr>
          <w:rFonts w:hint="eastAsia"/>
          <w:sz w:val="24"/>
          <w:szCs w:val="24"/>
        </w:rPr>
        <w:t>2.4.1 调入档案。员工须在报到当日说明档案存放情况，并应在入职后90 日内将个人档案调入基金会指定的存档单位或提供档案存放的有效证明；</w:t>
      </w:r>
    </w:p>
    <w:p>
      <w:pPr>
        <w:spacing w:line="360" w:lineRule="auto"/>
        <w:ind w:firstLine="480" w:firstLineChars="200"/>
        <w:rPr>
          <w:sz w:val="24"/>
          <w:szCs w:val="24"/>
        </w:rPr>
      </w:pPr>
      <w:r>
        <w:rPr>
          <w:rFonts w:hint="eastAsia"/>
          <w:sz w:val="24"/>
          <w:szCs w:val="24"/>
        </w:rPr>
        <w:t>2.4.2 签订劳动合同。员工须在入职当日与基金会签订书面的劳动合同；</w:t>
      </w:r>
    </w:p>
    <w:p>
      <w:pPr>
        <w:spacing w:line="360" w:lineRule="auto"/>
        <w:ind w:firstLine="480" w:firstLineChars="200"/>
        <w:rPr>
          <w:sz w:val="24"/>
          <w:szCs w:val="24"/>
        </w:rPr>
      </w:pPr>
      <w:r>
        <w:rPr>
          <w:rFonts w:hint="eastAsia"/>
          <w:sz w:val="24"/>
          <w:szCs w:val="24"/>
        </w:rPr>
        <w:t>2.4.3 确认《人力资源管理制度》和机构的规章制度。《人力资源管理制度》和机构规章制度与本基金会运营管理及员工利益密切相关，为确保每位员工都能知悉基金会的各项规章制度和用工管理流程，本基金会将在入职当日向员工公示《人力资源管理制度》及其他规章制度，员工应当仔细阅读并办理《人力资源管理制度》签收、确认事宜；若有任何疑问，可向综合管理部提出，部门将给予回复；</w:t>
      </w:r>
    </w:p>
    <w:p>
      <w:pPr>
        <w:spacing w:line="360" w:lineRule="auto"/>
        <w:ind w:firstLine="480" w:firstLineChars="200"/>
        <w:rPr>
          <w:sz w:val="24"/>
          <w:szCs w:val="24"/>
        </w:rPr>
      </w:pPr>
      <w:r>
        <w:rPr>
          <w:rFonts w:hint="eastAsia"/>
          <w:sz w:val="24"/>
          <w:szCs w:val="24"/>
        </w:rPr>
        <w:t>2.4.4 填写《员工信息登记表》。办理入职时，员工应如实填写《员工信息登记表》，保证所载信息为真实、有效、准确、完整。本基金会将对其内容妥善保存并予以保密；</w:t>
      </w:r>
    </w:p>
    <w:p>
      <w:pPr>
        <w:spacing w:line="360" w:lineRule="auto"/>
        <w:ind w:firstLine="480" w:firstLineChars="200"/>
        <w:rPr>
          <w:sz w:val="24"/>
          <w:szCs w:val="24"/>
        </w:rPr>
      </w:pPr>
      <w:r>
        <w:rPr>
          <w:rFonts w:hint="eastAsia"/>
          <w:sz w:val="24"/>
          <w:szCs w:val="24"/>
        </w:rPr>
        <w:t>2.4.5 本基金会将在员工入职后，为员工提供入职培训。入职培训的内容包括但不限于机构介绍，行为准则、财务流程、福利政策等机构政策及规章制度及其查阅方式等，员工应遵照机构安排，参加入职培训。</w:t>
      </w:r>
    </w:p>
    <w:p>
      <w:pPr>
        <w:spacing w:line="360" w:lineRule="auto"/>
        <w:ind w:firstLine="480" w:firstLineChars="200"/>
        <w:rPr>
          <w:sz w:val="24"/>
          <w:szCs w:val="24"/>
        </w:rPr>
      </w:pPr>
      <w:r>
        <w:rPr>
          <w:rFonts w:hint="eastAsia"/>
          <w:sz w:val="24"/>
          <w:szCs w:val="24"/>
        </w:rPr>
        <w:t>2.5试用期规范：</w:t>
      </w:r>
    </w:p>
    <w:p>
      <w:pPr>
        <w:spacing w:line="360" w:lineRule="auto"/>
        <w:ind w:firstLine="480" w:firstLineChars="200"/>
        <w:rPr>
          <w:sz w:val="24"/>
          <w:szCs w:val="24"/>
        </w:rPr>
      </w:pPr>
      <w:r>
        <w:rPr>
          <w:rFonts w:hint="eastAsia"/>
          <w:sz w:val="24"/>
          <w:szCs w:val="24"/>
        </w:rPr>
        <w:t>2.5.1试用期可以分为新进试用、调整试用、晋升试用等情况；</w:t>
      </w:r>
    </w:p>
    <w:p>
      <w:pPr>
        <w:spacing w:line="360" w:lineRule="auto"/>
        <w:ind w:firstLine="480" w:firstLineChars="200"/>
        <w:rPr>
          <w:sz w:val="24"/>
          <w:szCs w:val="24"/>
        </w:rPr>
      </w:pPr>
      <w:r>
        <w:rPr>
          <w:rFonts w:hint="eastAsia"/>
          <w:sz w:val="24"/>
          <w:szCs w:val="24"/>
        </w:rPr>
        <w:t>2.5.1.1新进试用。劳动合同约定实行试用期的新进员工，试用期满合格方予录用为正式员工。新员工试用期间按本基金会《考勤及请假管理制度》可以请事假和病假，但试用期按请假天数顺延。</w:t>
      </w:r>
    </w:p>
    <w:p>
      <w:pPr>
        <w:spacing w:line="360" w:lineRule="auto"/>
        <w:ind w:firstLine="480" w:firstLineChars="200"/>
        <w:rPr>
          <w:sz w:val="24"/>
          <w:szCs w:val="24"/>
        </w:rPr>
      </w:pPr>
      <w:r>
        <w:rPr>
          <w:rFonts w:hint="eastAsia"/>
          <w:sz w:val="24"/>
          <w:szCs w:val="24"/>
        </w:rPr>
        <w:t>2.5.1.2 调整试用：因工作需要调整工作岗位的员工，为考察其在新岗位的适应性，经双方协商可约定试用期，试用期为一个月；</w:t>
      </w:r>
    </w:p>
    <w:p>
      <w:pPr>
        <w:spacing w:line="360" w:lineRule="auto"/>
        <w:ind w:firstLine="480" w:firstLineChars="200"/>
        <w:rPr>
          <w:sz w:val="24"/>
          <w:szCs w:val="24"/>
        </w:rPr>
      </w:pPr>
      <w:r>
        <w:rPr>
          <w:rFonts w:hint="eastAsia"/>
          <w:sz w:val="24"/>
          <w:szCs w:val="24"/>
        </w:rPr>
        <w:t>2.5.1.3 晋升试用：因工作表现优秀晋升的员工，为考察其胜任新岗位的情况，经双方协商可约定试用期，试用期为三个月。</w:t>
      </w:r>
    </w:p>
    <w:p>
      <w:pPr>
        <w:spacing w:line="360" w:lineRule="auto"/>
        <w:ind w:firstLine="480" w:firstLineChars="200"/>
        <w:rPr>
          <w:sz w:val="24"/>
          <w:szCs w:val="24"/>
        </w:rPr>
      </w:pPr>
      <w:r>
        <w:rPr>
          <w:rFonts w:hint="eastAsia"/>
          <w:sz w:val="24"/>
          <w:szCs w:val="24"/>
        </w:rPr>
        <w:t>2.5.2试用考核</w:t>
      </w:r>
    </w:p>
    <w:p>
      <w:pPr>
        <w:spacing w:line="360" w:lineRule="auto"/>
        <w:ind w:firstLine="480" w:firstLineChars="200"/>
        <w:rPr>
          <w:sz w:val="24"/>
          <w:szCs w:val="24"/>
        </w:rPr>
      </w:pPr>
      <w:r>
        <w:rPr>
          <w:rFonts w:hint="eastAsia"/>
          <w:sz w:val="24"/>
          <w:szCs w:val="24"/>
        </w:rPr>
        <w:t>2.5.2.1 部门负责人根据员工在试用期的表现，填写《转正考评面谈表》（附件2）与《员工转正评价表（直属领导）》；组织基金会同事填写《员工转正评价表（同事环评）》。评价者需客观公正地评分并写出评语，并反馈其试用期间的绩效考评成绩；</w:t>
      </w:r>
    </w:p>
    <w:p>
      <w:pPr>
        <w:spacing w:line="360" w:lineRule="auto"/>
        <w:ind w:firstLine="480" w:firstLineChars="200"/>
        <w:rPr>
          <w:sz w:val="24"/>
          <w:szCs w:val="24"/>
        </w:rPr>
      </w:pPr>
      <w:r>
        <w:rPr>
          <w:rFonts w:hint="eastAsia"/>
          <w:sz w:val="24"/>
          <w:szCs w:val="24"/>
        </w:rPr>
        <w:t>2.5.2.2秘书长根据部门评语及其他员工综合意见进行审批，决定“聘用、调整、终止试用、辞退”等。</w:t>
      </w:r>
    </w:p>
    <w:p>
      <w:pPr>
        <w:spacing w:line="360" w:lineRule="auto"/>
        <w:ind w:firstLine="480" w:firstLineChars="200"/>
        <w:rPr>
          <w:sz w:val="24"/>
          <w:szCs w:val="24"/>
        </w:rPr>
      </w:pPr>
      <w:r>
        <w:rPr>
          <w:rFonts w:hint="eastAsia"/>
          <w:sz w:val="24"/>
          <w:szCs w:val="24"/>
        </w:rPr>
        <w:t>2.5.3提前结束试用期</w:t>
      </w:r>
    </w:p>
    <w:p>
      <w:pPr>
        <w:spacing w:line="360" w:lineRule="auto"/>
        <w:ind w:firstLine="480" w:firstLineChars="200"/>
        <w:rPr>
          <w:sz w:val="24"/>
          <w:szCs w:val="24"/>
        </w:rPr>
      </w:pPr>
      <w:r>
        <w:rPr>
          <w:rFonts w:hint="eastAsia"/>
          <w:sz w:val="24"/>
          <w:szCs w:val="24"/>
        </w:rPr>
        <w:t>2.5.3.1在试用期间，对业务素质、技能、工作适应能力及工作成效特别出色的员工，试用部门负责人可以提前结束试用期，并报秘书长批准；</w:t>
      </w:r>
    </w:p>
    <w:p>
      <w:pPr>
        <w:spacing w:line="360" w:lineRule="auto"/>
        <w:ind w:firstLine="480" w:firstLineChars="200"/>
        <w:rPr>
          <w:sz w:val="24"/>
          <w:szCs w:val="24"/>
        </w:rPr>
      </w:pPr>
      <w:r>
        <w:rPr>
          <w:rFonts w:hint="eastAsia"/>
          <w:sz w:val="24"/>
          <w:szCs w:val="24"/>
        </w:rPr>
        <w:t>2.5.3.2员工在试用期内若有因品行或能力欠佳而不适合岗位工作者，由员工所在部门提出建议，经秘书长同意后，本基金会可随时调整其试用岗位或终止与其的试用关系。</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3．员工的培训与发展</w:t>
      </w:r>
    </w:p>
    <w:p>
      <w:pPr>
        <w:spacing w:line="360" w:lineRule="auto"/>
        <w:ind w:firstLine="480" w:firstLineChars="200"/>
        <w:rPr>
          <w:sz w:val="24"/>
          <w:szCs w:val="24"/>
        </w:rPr>
      </w:pPr>
      <w:r>
        <w:rPr>
          <w:rFonts w:hint="eastAsia"/>
          <w:sz w:val="24"/>
          <w:szCs w:val="24"/>
        </w:rPr>
        <w:t>3.1培训的组织策划和实施</w:t>
      </w:r>
    </w:p>
    <w:p>
      <w:pPr>
        <w:spacing w:line="360" w:lineRule="auto"/>
        <w:ind w:firstLine="480" w:firstLineChars="200"/>
        <w:rPr>
          <w:sz w:val="24"/>
          <w:szCs w:val="24"/>
        </w:rPr>
      </w:pPr>
      <w:r>
        <w:rPr>
          <w:rFonts w:hint="eastAsia"/>
          <w:sz w:val="24"/>
          <w:szCs w:val="24"/>
        </w:rPr>
        <w:t>3.1.1综合管理部负责培训活动的统筹、规划和实施；</w:t>
      </w:r>
    </w:p>
    <w:p>
      <w:pPr>
        <w:spacing w:line="360" w:lineRule="auto"/>
        <w:ind w:firstLine="480" w:firstLineChars="200"/>
        <w:rPr>
          <w:sz w:val="24"/>
          <w:szCs w:val="24"/>
        </w:rPr>
      </w:pPr>
      <w:r>
        <w:rPr>
          <w:rFonts w:hint="eastAsia"/>
          <w:sz w:val="24"/>
          <w:szCs w:val="24"/>
        </w:rPr>
        <w:t>3.1.2基金会其它各部门负责人应协助综合管理部门进行培训的实施、督促，同时在基金会整体培训计划下组织好本部门内部的培训；</w:t>
      </w:r>
    </w:p>
    <w:p>
      <w:pPr>
        <w:spacing w:line="360" w:lineRule="auto"/>
        <w:ind w:firstLine="480" w:firstLineChars="200"/>
        <w:rPr>
          <w:sz w:val="24"/>
          <w:szCs w:val="24"/>
        </w:rPr>
      </w:pPr>
      <w:r>
        <w:rPr>
          <w:rFonts w:hint="eastAsia"/>
          <w:sz w:val="24"/>
          <w:szCs w:val="24"/>
        </w:rPr>
        <w:t>3.2 培训的形式与方法</w:t>
      </w:r>
    </w:p>
    <w:p>
      <w:pPr>
        <w:spacing w:line="360" w:lineRule="auto"/>
        <w:ind w:firstLine="480" w:firstLineChars="200"/>
        <w:rPr>
          <w:sz w:val="24"/>
          <w:szCs w:val="24"/>
        </w:rPr>
      </w:pPr>
      <w:r>
        <w:rPr>
          <w:rFonts w:hint="eastAsia"/>
          <w:sz w:val="24"/>
          <w:szCs w:val="24"/>
        </w:rPr>
        <w:t>3.2.1 本基金会的培训形式包括基金会内部培训、外派培训和员工自我培训。内部培训又分为员工职前培训、岗位技能培训；</w:t>
      </w:r>
    </w:p>
    <w:p>
      <w:pPr>
        <w:spacing w:line="360" w:lineRule="auto"/>
        <w:ind w:firstLine="480" w:firstLineChars="200"/>
        <w:rPr>
          <w:sz w:val="24"/>
          <w:szCs w:val="24"/>
        </w:rPr>
      </w:pPr>
      <w:r>
        <w:rPr>
          <w:rFonts w:hint="eastAsia"/>
          <w:sz w:val="24"/>
          <w:szCs w:val="24"/>
        </w:rPr>
        <w:t>3.3 培训要求</w:t>
      </w:r>
    </w:p>
    <w:p>
      <w:pPr>
        <w:spacing w:line="360" w:lineRule="auto"/>
        <w:ind w:firstLine="480" w:firstLineChars="200"/>
        <w:rPr>
          <w:sz w:val="24"/>
          <w:szCs w:val="24"/>
        </w:rPr>
      </w:pPr>
      <w:r>
        <w:rPr>
          <w:rFonts w:hint="eastAsia"/>
          <w:sz w:val="24"/>
          <w:szCs w:val="24"/>
        </w:rPr>
        <w:t>3.3.1 培训过程前、中、后所有记录和数据由综合管理部统一收集、整理、存档；</w:t>
      </w:r>
    </w:p>
    <w:p>
      <w:pPr>
        <w:spacing w:line="360" w:lineRule="auto"/>
        <w:ind w:firstLine="480" w:firstLineChars="200"/>
        <w:rPr>
          <w:sz w:val="24"/>
          <w:szCs w:val="24"/>
        </w:rPr>
      </w:pPr>
      <w:r>
        <w:rPr>
          <w:rFonts w:hint="eastAsia"/>
          <w:sz w:val="24"/>
          <w:szCs w:val="24"/>
        </w:rPr>
        <w:t>3.3.2 基金会投入的培训费用应严格按照培训计划实施，杜绝浪费现象；</w:t>
      </w:r>
    </w:p>
    <w:p>
      <w:pPr>
        <w:spacing w:line="360" w:lineRule="auto"/>
        <w:ind w:firstLine="480" w:firstLineChars="200"/>
        <w:rPr>
          <w:sz w:val="24"/>
          <w:szCs w:val="24"/>
        </w:rPr>
      </w:pPr>
      <w:r>
        <w:rPr>
          <w:rFonts w:hint="eastAsia"/>
          <w:sz w:val="24"/>
          <w:szCs w:val="24"/>
        </w:rPr>
        <w:t>3.3.3 凡受训人员在接获培训通知时，应在指定时间内向组织单位报到，特殊情况不能参训，应经基金会领导批准。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4．员工的岗位调动与迁调</w:t>
      </w:r>
    </w:p>
    <w:p>
      <w:pPr>
        <w:spacing w:line="360" w:lineRule="auto"/>
        <w:ind w:firstLine="480" w:firstLineChars="200"/>
        <w:rPr>
          <w:sz w:val="24"/>
          <w:szCs w:val="24"/>
        </w:rPr>
      </w:pPr>
      <w:r>
        <w:rPr>
          <w:rFonts w:hint="eastAsia"/>
          <w:sz w:val="24"/>
          <w:szCs w:val="24"/>
        </w:rPr>
        <w:t>4.1岗位调动</w:t>
      </w:r>
    </w:p>
    <w:p>
      <w:pPr>
        <w:spacing w:line="360" w:lineRule="auto"/>
        <w:ind w:firstLine="480" w:firstLineChars="200"/>
        <w:rPr>
          <w:sz w:val="24"/>
          <w:szCs w:val="24"/>
        </w:rPr>
      </w:pPr>
      <w:r>
        <w:rPr>
          <w:rFonts w:hint="eastAsia"/>
          <w:sz w:val="24"/>
          <w:szCs w:val="24"/>
        </w:rPr>
        <w:t>4.1.1 员工主动提出调动。员工在同一职位上工作满1 年，且年度业绩评估良好，在获得其部门负责人及综合管理部的同意下，可申请机构内部空缺的职位，是否录用视乎用人部门的面试及综合评估。</w:t>
      </w:r>
    </w:p>
    <w:p>
      <w:pPr>
        <w:spacing w:line="360" w:lineRule="auto"/>
        <w:ind w:firstLine="480" w:firstLineChars="200"/>
        <w:rPr>
          <w:sz w:val="24"/>
          <w:szCs w:val="24"/>
        </w:rPr>
      </w:pPr>
      <w:r>
        <w:rPr>
          <w:rFonts w:hint="eastAsia"/>
          <w:sz w:val="24"/>
          <w:szCs w:val="24"/>
        </w:rPr>
        <w:t>4.1.2以职业发展为目标的调动。本基金会将结合业务发展需要及员工的个人职业发展，通过晋升或职位调动，帮助员工实现职业目标及规划；</w:t>
      </w:r>
    </w:p>
    <w:p>
      <w:pPr>
        <w:spacing w:line="360" w:lineRule="auto"/>
        <w:ind w:firstLine="480" w:firstLineChars="200"/>
        <w:rPr>
          <w:sz w:val="24"/>
          <w:szCs w:val="24"/>
        </w:rPr>
      </w:pPr>
      <w:r>
        <w:rPr>
          <w:rFonts w:hint="eastAsia"/>
          <w:sz w:val="24"/>
          <w:szCs w:val="24"/>
        </w:rPr>
        <w:t>4.1.3以绩效改进为目的的调动。员工不胜任工作的，本基金会可通过其主管领导的业务指导及胜任力培训以提升其工作能力，如仍无法如期改进，将依据当时空缺的职位评估该员工是否匹配或胜任，如适合则调整其到该工作岗位，员工应予以服从；如不适合或无正当理由而不服从调动的，将按《劳动法》及《劳动合同》执行。</w:t>
      </w:r>
    </w:p>
    <w:p>
      <w:pPr>
        <w:spacing w:line="360" w:lineRule="auto"/>
        <w:ind w:firstLine="480" w:firstLineChars="200"/>
        <w:rPr>
          <w:sz w:val="24"/>
          <w:szCs w:val="24"/>
        </w:rPr>
      </w:pPr>
      <w:r>
        <w:rPr>
          <w:rFonts w:hint="eastAsia"/>
          <w:sz w:val="24"/>
          <w:szCs w:val="24"/>
        </w:rPr>
        <w:t>4.2员工的迁调</w:t>
      </w:r>
    </w:p>
    <w:p>
      <w:pPr>
        <w:spacing w:line="360" w:lineRule="auto"/>
        <w:ind w:firstLine="480" w:firstLineChars="200"/>
        <w:rPr>
          <w:sz w:val="24"/>
          <w:szCs w:val="24"/>
        </w:rPr>
      </w:pPr>
      <w:r>
        <w:rPr>
          <w:rFonts w:hint="eastAsia"/>
          <w:sz w:val="24"/>
          <w:szCs w:val="24"/>
        </w:rPr>
        <w:t>4.2.1根据本基金会发展需要，为实现人员和岗位的最佳匹配，本基金会可根据工作需要或者员工的工作技能等情况调整员工的工作岗位、职务；</w:t>
      </w:r>
    </w:p>
    <w:p>
      <w:pPr>
        <w:spacing w:line="360" w:lineRule="auto"/>
        <w:ind w:firstLine="480" w:firstLineChars="200"/>
        <w:rPr>
          <w:sz w:val="24"/>
          <w:szCs w:val="24"/>
        </w:rPr>
      </w:pPr>
      <w:r>
        <w:rPr>
          <w:rFonts w:hint="eastAsia"/>
          <w:sz w:val="24"/>
          <w:szCs w:val="24"/>
        </w:rPr>
        <w:t>4.2.2 各部门负责人依其管辖内所属员工之个性、学识和能力，力求人尽其才，以达到人与事相互配合，部门可填写人事报告安排派调；</w:t>
      </w:r>
    </w:p>
    <w:p>
      <w:pPr>
        <w:spacing w:line="360" w:lineRule="auto"/>
        <w:ind w:firstLine="480" w:firstLineChars="200"/>
        <w:rPr>
          <w:sz w:val="24"/>
          <w:szCs w:val="24"/>
        </w:rPr>
      </w:pPr>
      <w:r>
        <w:rPr>
          <w:rFonts w:hint="eastAsia"/>
          <w:sz w:val="24"/>
          <w:szCs w:val="24"/>
        </w:rPr>
        <w:t>4.2.3 员工的调动分为部门内部调动和部门之间调动等情况：</w:t>
      </w:r>
    </w:p>
    <w:p>
      <w:pPr>
        <w:spacing w:line="360" w:lineRule="auto"/>
        <w:ind w:firstLine="480" w:firstLineChars="200"/>
        <w:rPr>
          <w:sz w:val="24"/>
          <w:szCs w:val="24"/>
        </w:rPr>
      </w:pPr>
      <w:r>
        <w:rPr>
          <w:rFonts w:hint="eastAsia"/>
          <w:sz w:val="24"/>
          <w:szCs w:val="24"/>
        </w:rPr>
        <w:t>4.2.3.1 部门内部调动：是指员工在本部门内的岗位变动，由各部门负责人根据实际情况，经考核后，具体安排，并交综合管理部存档；</w:t>
      </w:r>
    </w:p>
    <w:p>
      <w:pPr>
        <w:spacing w:line="360" w:lineRule="auto"/>
        <w:ind w:firstLine="480" w:firstLineChars="200"/>
        <w:rPr>
          <w:sz w:val="24"/>
          <w:szCs w:val="24"/>
        </w:rPr>
      </w:pPr>
      <w:r>
        <w:rPr>
          <w:rFonts w:hint="eastAsia"/>
          <w:sz w:val="24"/>
          <w:szCs w:val="24"/>
        </w:rPr>
        <w:t>4.2.3.2 部门之间调动：是指员工在本基金会内部各部门之间的流动，经综合考察后，由所涉及部门的负责人批准并报秘书长批准后，由综合管理部存档。</w:t>
      </w:r>
    </w:p>
    <w:p>
      <w:pPr>
        <w:spacing w:line="360" w:lineRule="auto"/>
        <w:ind w:firstLine="480" w:firstLineChars="200"/>
        <w:rPr>
          <w:sz w:val="24"/>
          <w:szCs w:val="24"/>
        </w:rPr>
      </w:pPr>
      <w:r>
        <w:rPr>
          <w:rFonts w:hint="eastAsia"/>
          <w:sz w:val="24"/>
          <w:szCs w:val="24"/>
        </w:rPr>
        <w:t>4.2.4综合管理部开具《调动通知单》（附件5）通知相关部门，由部门发放至相关人员，并安排办理工作交接手续。</w:t>
      </w:r>
    </w:p>
    <w:p>
      <w:pPr>
        <w:spacing w:line="360" w:lineRule="auto"/>
        <w:ind w:firstLine="480" w:firstLineChars="200"/>
        <w:rPr>
          <w:sz w:val="24"/>
          <w:szCs w:val="24"/>
        </w:rPr>
      </w:pPr>
      <w:r>
        <w:rPr>
          <w:rFonts w:hint="eastAsia"/>
          <w:sz w:val="24"/>
          <w:szCs w:val="24"/>
        </w:rPr>
        <w:t>4.2.5奉调员工接到调任通知后，应于3日内办妥移交手续就任新职，如因工作之需无法如期办妥移交手续时，可酌予延长，最长以7日为限。</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5．员工的晋升</w:t>
      </w:r>
    </w:p>
    <w:p>
      <w:pPr>
        <w:spacing w:line="360" w:lineRule="auto"/>
        <w:ind w:firstLine="480" w:firstLineChars="200"/>
        <w:rPr>
          <w:sz w:val="24"/>
          <w:szCs w:val="24"/>
        </w:rPr>
      </w:pPr>
      <w:r>
        <w:rPr>
          <w:rFonts w:hint="eastAsia"/>
          <w:sz w:val="24"/>
          <w:szCs w:val="24"/>
        </w:rPr>
        <w:t>5.1 秘书长对综合表现优秀的员工进行职务晋升。</w:t>
      </w:r>
    </w:p>
    <w:p>
      <w:pPr>
        <w:spacing w:line="360" w:lineRule="auto"/>
        <w:ind w:firstLine="480" w:firstLineChars="200"/>
        <w:rPr>
          <w:sz w:val="24"/>
          <w:szCs w:val="24"/>
        </w:rPr>
      </w:pPr>
      <w:r>
        <w:rPr>
          <w:rFonts w:hint="eastAsia"/>
          <w:sz w:val="24"/>
          <w:szCs w:val="24"/>
        </w:rPr>
        <w:t>5.2 晋升原则：</w:t>
      </w:r>
    </w:p>
    <w:p>
      <w:pPr>
        <w:spacing w:line="360" w:lineRule="auto"/>
        <w:ind w:firstLine="480" w:firstLineChars="200"/>
        <w:rPr>
          <w:sz w:val="24"/>
          <w:szCs w:val="24"/>
        </w:rPr>
      </w:pPr>
      <w:r>
        <w:rPr>
          <w:rFonts w:hint="eastAsia"/>
          <w:sz w:val="24"/>
          <w:szCs w:val="24"/>
        </w:rPr>
        <w:t>5.2.1 遵照职位空缺或者需要设立的原则；</w:t>
      </w:r>
    </w:p>
    <w:p>
      <w:pPr>
        <w:spacing w:line="360" w:lineRule="auto"/>
        <w:ind w:firstLine="480" w:firstLineChars="200"/>
        <w:rPr>
          <w:sz w:val="24"/>
          <w:szCs w:val="24"/>
        </w:rPr>
      </w:pPr>
      <w:r>
        <w:rPr>
          <w:rFonts w:hint="eastAsia"/>
          <w:sz w:val="24"/>
          <w:szCs w:val="24"/>
        </w:rPr>
        <w:t>5.2.2 遵照客观、公平、公正、公开的原则；</w:t>
      </w:r>
    </w:p>
    <w:p>
      <w:pPr>
        <w:spacing w:line="360" w:lineRule="auto"/>
        <w:ind w:firstLine="480" w:firstLineChars="200"/>
        <w:rPr>
          <w:sz w:val="24"/>
          <w:szCs w:val="24"/>
        </w:rPr>
      </w:pPr>
      <w:r>
        <w:rPr>
          <w:rFonts w:hint="eastAsia"/>
          <w:sz w:val="24"/>
          <w:szCs w:val="24"/>
        </w:rPr>
        <w:t>5.2.3 遵照科学考评、岗位胜任、择优的原则；</w:t>
      </w:r>
    </w:p>
    <w:p>
      <w:pPr>
        <w:spacing w:line="360" w:lineRule="auto"/>
        <w:ind w:firstLine="480" w:firstLineChars="200"/>
        <w:rPr>
          <w:sz w:val="24"/>
          <w:szCs w:val="24"/>
        </w:rPr>
      </w:pPr>
      <w:r>
        <w:rPr>
          <w:rFonts w:hint="eastAsia"/>
          <w:sz w:val="24"/>
          <w:szCs w:val="24"/>
        </w:rPr>
        <w:t>5.3 晋升标准</w:t>
      </w:r>
    </w:p>
    <w:p>
      <w:pPr>
        <w:spacing w:line="360" w:lineRule="auto"/>
        <w:ind w:firstLine="480" w:firstLineChars="200"/>
        <w:rPr>
          <w:sz w:val="24"/>
          <w:szCs w:val="24"/>
        </w:rPr>
      </w:pPr>
      <w:r>
        <w:rPr>
          <w:rFonts w:hint="eastAsia"/>
          <w:sz w:val="24"/>
          <w:szCs w:val="24"/>
        </w:rPr>
        <w:t>5.3.1 个人品德高尚，积极进取，团结协作；</w:t>
      </w:r>
    </w:p>
    <w:p>
      <w:pPr>
        <w:spacing w:line="360" w:lineRule="auto"/>
        <w:ind w:firstLine="480" w:firstLineChars="200"/>
        <w:rPr>
          <w:sz w:val="24"/>
          <w:szCs w:val="24"/>
        </w:rPr>
      </w:pPr>
      <w:r>
        <w:rPr>
          <w:rFonts w:hint="eastAsia"/>
          <w:sz w:val="24"/>
          <w:szCs w:val="24"/>
        </w:rPr>
        <w:t>5.3.2 认同本基金会理念，具有饱满的工作热情、高度的工作责任心和奉献精神；</w:t>
      </w:r>
    </w:p>
    <w:p>
      <w:pPr>
        <w:spacing w:line="360" w:lineRule="auto"/>
        <w:ind w:firstLine="480" w:firstLineChars="200"/>
        <w:rPr>
          <w:sz w:val="24"/>
          <w:szCs w:val="24"/>
        </w:rPr>
      </w:pPr>
      <w:r>
        <w:rPr>
          <w:rFonts w:hint="eastAsia"/>
          <w:sz w:val="24"/>
          <w:szCs w:val="24"/>
        </w:rPr>
        <w:t>5.3.3 具备晋升岗位相关的专业技能和管理能力；</w:t>
      </w:r>
    </w:p>
    <w:p>
      <w:pPr>
        <w:spacing w:line="360" w:lineRule="auto"/>
        <w:ind w:firstLine="480" w:firstLineChars="200"/>
        <w:rPr>
          <w:sz w:val="24"/>
          <w:szCs w:val="24"/>
        </w:rPr>
      </w:pPr>
      <w:r>
        <w:rPr>
          <w:rFonts w:hint="eastAsia"/>
          <w:sz w:val="24"/>
          <w:szCs w:val="24"/>
        </w:rPr>
        <w:t>5.3.4 具有较好的的适应性和发展潜力；</w:t>
      </w:r>
    </w:p>
    <w:p>
      <w:pPr>
        <w:spacing w:line="360" w:lineRule="auto"/>
        <w:ind w:firstLine="480" w:firstLineChars="200"/>
        <w:rPr>
          <w:sz w:val="24"/>
          <w:szCs w:val="24"/>
        </w:rPr>
      </w:pPr>
      <w:r>
        <w:rPr>
          <w:rFonts w:hint="eastAsia"/>
          <w:sz w:val="24"/>
          <w:szCs w:val="24"/>
        </w:rPr>
        <w:t>5.3.5 其他对本基金会有积极贡献，表现出色者。</w:t>
      </w:r>
    </w:p>
    <w:p>
      <w:pPr>
        <w:spacing w:line="360" w:lineRule="auto"/>
        <w:ind w:firstLine="480" w:firstLineChars="200"/>
        <w:rPr>
          <w:sz w:val="24"/>
          <w:szCs w:val="24"/>
        </w:rPr>
      </w:pPr>
      <w:r>
        <w:rPr>
          <w:rFonts w:hint="eastAsia"/>
          <w:sz w:val="24"/>
          <w:szCs w:val="24"/>
        </w:rPr>
        <w:t>5.4 不定期晋升：对本基金会有特殊贡献，表现异常出色者，由部门负责人根据工作需要及员工工作表现，进行申报审批。</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6．薪酬管理</w:t>
      </w:r>
    </w:p>
    <w:p>
      <w:pPr>
        <w:spacing w:line="360" w:lineRule="auto"/>
        <w:ind w:firstLine="480" w:firstLineChars="200"/>
        <w:rPr>
          <w:sz w:val="24"/>
          <w:szCs w:val="24"/>
        </w:rPr>
      </w:pPr>
      <w:r>
        <w:rPr>
          <w:rFonts w:hint="eastAsia"/>
          <w:sz w:val="24"/>
          <w:szCs w:val="24"/>
        </w:rPr>
        <w:t>6.1工资</w:t>
      </w:r>
    </w:p>
    <w:p>
      <w:pPr>
        <w:spacing w:line="360" w:lineRule="auto"/>
        <w:ind w:firstLine="480" w:firstLineChars="200"/>
        <w:rPr>
          <w:sz w:val="24"/>
          <w:szCs w:val="24"/>
        </w:rPr>
      </w:pPr>
      <w:r>
        <w:rPr>
          <w:rFonts w:hint="eastAsia"/>
          <w:sz w:val="24"/>
          <w:szCs w:val="24"/>
        </w:rPr>
        <w:t>本基金会在制定薪酬结构时，遵循以下原则：</w:t>
      </w:r>
    </w:p>
    <w:p>
      <w:pPr>
        <w:spacing w:line="360" w:lineRule="auto"/>
        <w:ind w:firstLine="480" w:firstLineChars="200"/>
        <w:rPr>
          <w:sz w:val="24"/>
          <w:szCs w:val="24"/>
        </w:rPr>
      </w:pPr>
      <w:r>
        <w:rPr>
          <w:rFonts w:hint="eastAsia"/>
          <w:sz w:val="24"/>
          <w:szCs w:val="24"/>
        </w:rPr>
        <w:t>6.1.1 在市场上有竞争力；</w:t>
      </w:r>
    </w:p>
    <w:p>
      <w:pPr>
        <w:spacing w:line="360" w:lineRule="auto"/>
        <w:ind w:firstLine="480" w:firstLineChars="200"/>
        <w:rPr>
          <w:sz w:val="24"/>
          <w:szCs w:val="24"/>
        </w:rPr>
      </w:pPr>
      <w:r>
        <w:rPr>
          <w:rFonts w:hint="eastAsia"/>
          <w:sz w:val="24"/>
          <w:szCs w:val="24"/>
        </w:rPr>
        <w:t>6.1.2 对内有一致性；</w:t>
      </w:r>
    </w:p>
    <w:p>
      <w:pPr>
        <w:spacing w:line="360" w:lineRule="auto"/>
        <w:ind w:firstLine="480" w:firstLineChars="200"/>
        <w:rPr>
          <w:sz w:val="24"/>
          <w:szCs w:val="24"/>
        </w:rPr>
      </w:pPr>
      <w:r>
        <w:rPr>
          <w:rFonts w:hint="eastAsia"/>
          <w:sz w:val="24"/>
          <w:szCs w:val="24"/>
        </w:rPr>
        <w:t>6.1.3 本基金会根据岗位职责评估级别和工资范围；</w:t>
      </w:r>
    </w:p>
    <w:p>
      <w:pPr>
        <w:spacing w:line="360" w:lineRule="auto"/>
        <w:ind w:firstLine="480" w:firstLineChars="200"/>
        <w:rPr>
          <w:sz w:val="24"/>
          <w:szCs w:val="24"/>
        </w:rPr>
      </w:pPr>
      <w:r>
        <w:rPr>
          <w:rFonts w:hint="eastAsia"/>
          <w:sz w:val="24"/>
          <w:szCs w:val="24"/>
        </w:rPr>
        <w:t>6.1.4 本基金会将定期根据地域的经济状况、市场薪酬趋势、劳动力市场状况及员工的工作表现和贡献，考虑是否需要进行薪酬调整及如何调整；</w:t>
      </w:r>
    </w:p>
    <w:p>
      <w:pPr>
        <w:spacing w:line="360" w:lineRule="auto"/>
        <w:ind w:firstLine="480" w:firstLineChars="200"/>
        <w:rPr>
          <w:sz w:val="24"/>
          <w:szCs w:val="24"/>
        </w:rPr>
      </w:pPr>
      <w:r>
        <w:rPr>
          <w:rFonts w:hint="eastAsia"/>
          <w:sz w:val="24"/>
          <w:szCs w:val="24"/>
        </w:rPr>
        <w:t>6.2 薪酬发放</w:t>
      </w:r>
    </w:p>
    <w:p>
      <w:pPr>
        <w:spacing w:line="360" w:lineRule="auto"/>
        <w:ind w:firstLine="480" w:firstLineChars="200"/>
        <w:rPr>
          <w:sz w:val="24"/>
          <w:szCs w:val="24"/>
        </w:rPr>
      </w:pPr>
      <w:r>
        <w:rPr>
          <w:rFonts w:hint="eastAsia"/>
          <w:sz w:val="24"/>
          <w:szCs w:val="24"/>
        </w:rPr>
        <w:t>6.2.1员工工资由基本工资构成，根据员工所在岗位和所属级别，由基金会确定固定工资；</w:t>
      </w:r>
    </w:p>
    <w:p>
      <w:pPr>
        <w:spacing w:line="360" w:lineRule="auto"/>
        <w:ind w:firstLine="480" w:firstLineChars="200"/>
        <w:rPr>
          <w:sz w:val="24"/>
          <w:szCs w:val="24"/>
        </w:rPr>
      </w:pPr>
      <w:r>
        <w:rPr>
          <w:rFonts w:hint="eastAsia"/>
          <w:sz w:val="24"/>
          <w:szCs w:val="24"/>
        </w:rPr>
        <w:t>6.2.2所有工资均为税前工资，员工就其工资应缴纳的个人所得税、社会保险及住房公积金中需由个人缴纳部分，由本基金会依法统一代扣代缴；</w:t>
      </w:r>
    </w:p>
    <w:p>
      <w:pPr>
        <w:spacing w:line="360" w:lineRule="auto"/>
        <w:ind w:firstLine="480" w:firstLineChars="200"/>
        <w:rPr>
          <w:sz w:val="24"/>
          <w:szCs w:val="24"/>
        </w:rPr>
      </w:pPr>
      <w:r>
        <w:rPr>
          <w:rFonts w:hint="eastAsia"/>
          <w:sz w:val="24"/>
          <w:szCs w:val="24"/>
        </w:rPr>
        <w:t>6.2.3工资发放日期定于当月30 日，如果工资发放日是公休日或法定假期，则在之前1 个工作日发放；</w:t>
      </w:r>
    </w:p>
    <w:p>
      <w:pPr>
        <w:spacing w:line="360" w:lineRule="auto"/>
        <w:ind w:firstLine="480" w:firstLineChars="200"/>
        <w:rPr>
          <w:rFonts w:hint="eastAsia" w:eastAsiaTheme="minorEastAsia"/>
          <w:sz w:val="24"/>
          <w:szCs w:val="24"/>
          <w:lang w:eastAsia="zh-CN"/>
        </w:rPr>
      </w:pPr>
      <w:r>
        <w:rPr>
          <w:rFonts w:hint="eastAsia"/>
          <w:sz w:val="24"/>
          <w:szCs w:val="24"/>
        </w:rPr>
        <w:t>6.2.4员工因工作岗位变动、晋升而相应的薪酬调整应于任命当月开始执行</w:t>
      </w:r>
      <w:r>
        <w:rPr>
          <w:rFonts w:hint="eastAsia"/>
          <w:sz w:val="24"/>
          <w:szCs w:val="24"/>
          <w:lang w:eastAsia="zh-CN"/>
        </w:rPr>
        <w:t>。</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7．绩效考核管理</w:t>
      </w:r>
    </w:p>
    <w:p>
      <w:pPr>
        <w:spacing w:line="360" w:lineRule="auto"/>
        <w:ind w:firstLine="480" w:firstLineChars="200"/>
        <w:rPr>
          <w:sz w:val="24"/>
          <w:szCs w:val="24"/>
        </w:rPr>
      </w:pPr>
      <w:r>
        <w:rPr>
          <w:rFonts w:hint="eastAsia"/>
          <w:sz w:val="24"/>
          <w:szCs w:val="24"/>
        </w:rPr>
        <w:t>7.1 绩效考核目标：</w:t>
      </w:r>
    </w:p>
    <w:p>
      <w:pPr>
        <w:spacing w:line="360" w:lineRule="auto"/>
        <w:ind w:firstLine="480" w:firstLineChars="200"/>
        <w:rPr>
          <w:sz w:val="24"/>
          <w:szCs w:val="24"/>
        </w:rPr>
      </w:pPr>
      <w:r>
        <w:rPr>
          <w:rFonts w:hint="eastAsia"/>
          <w:sz w:val="24"/>
          <w:szCs w:val="24"/>
        </w:rPr>
        <w:t>7.1.1客观、公正评价员工工作表现，进一步提高员工的工作绩效；</w:t>
      </w:r>
    </w:p>
    <w:p>
      <w:pPr>
        <w:spacing w:line="360" w:lineRule="auto"/>
        <w:ind w:firstLine="480" w:firstLineChars="200"/>
        <w:rPr>
          <w:sz w:val="24"/>
          <w:szCs w:val="24"/>
        </w:rPr>
      </w:pPr>
      <w:r>
        <w:rPr>
          <w:rFonts w:hint="eastAsia"/>
          <w:sz w:val="24"/>
          <w:szCs w:val="24"/>
        </w:rPr>
        <w:t>7.1.2 为人力资源管理提供依据；</w:t>
      </w:r>
    </w:p>
    <w:p>
      <w:pPr>
        <w:spacing w:line="360" w:lineRule="auto"/>
        <w:ind w:firstLine="480" w:firstLineChars="200"/>
        <w:rPr>
          <w:sz w:val="24"/>
          <w:szCs w:val="24"/>
        </w:rPr>
      </w:pPr>
      <w:r>
        <w:rPr>
          <w:rFonts w:hint="eastAsia"/>
          <w:sz w:val="24"/>
          <w:szCs w:val="24"/>
        </w:rPr>
        <w:t>7.1.3 加强沟通，建立良好的工作氛围。</w:t>
      </w:r>
    </w:p>
    <w:p>
      <w:pPr>
        <w:spacing w:line="360" w:lineRule="auto"/>
        <w:ind w:firstLine="480" w:firstLineChars="200"/>
        <w:rPr>
          <w:sz w:val="24"/>
          <w:szCs w:val="24"/>
        </w:rPr>
      </w:pPr>
      <w:r>
        <w:rPr>
          <w:rFonts w:hint="eastAsia"/>
          <w:sz w:val="24"/>
          <w:szCs w:val="24"/>
        </w:rPr>
        <w:t>7.2 绩效考核基本准则：</w:t>
      </w:r>
    </w:p>
    <w:p>
      <w:pPr>
        <w:spacing w:line="360" w:lineRule="auto"/>
        <w:ind w:firstLine="480" w:firstLineChars="200"/>
        <w:rPr>
          <w:sz w:val="24"/>
          <w:szCs w:val="24"/>
        </w:rPr>
      </w:pPr>
      <w:r>
        <w:rPr>
          <w:rFonts w:hint="eastAsia"/>
          <w:sz w:val="24"/>
          <w:szCs w:val="24"/>
        </w:rPr>
        <w:t>7.2.1 绩效考核坚持公开、公正和公平的原则，填写《半年/年度绩效评估表》，上级按照管理权限和管理职责对下属做出正确的考核与评价；</w:t>
      </w:r>
    </w:p>
    <w:p>
      <w:pPr>
        <w:spacing w:line="360" w:lineRule="auto"/>
        <w:ind w:firstLine="480" w:firstLineChars="200"/>
        <w:rPr>
          <w:sz w:val="24"/>
          <w:szCs w:val="24"/>
        </w:rPr>
      </w:pPr>
      <w:r>
        <w:rPr>
          <w:rFonts w:hint="eastAsia"/>
          <w:sz w:val="24"/>
          <w:szCs w:val="24"/>
        </w:rPr>
        <w:t>7.2.2 绩效考核办法应达成基金会内部共识，包括获得员工的普遍理解和认同；</w:t>
      </w:r>
    </w:p>
    <w:p>
      <w:pPr>
        <w:spacing w:line="360" w:lineRule="auto"/>
        <w:ind w:firstLine="480" w:firstLineChars="200"/>
        <w:rPr>
          <w:sz w:val="24"/>
          <w:szCs w:val="24"/>
        </w:rPr>
      </w:pPr>
      <w:r>
        <w:rPr>
          <w:rFonts w:hint="eastAsia"/>
          <w:sz w:val="24"/>
          <w:szCs w:val="24"/>
        </w:rPr>
        <w:t>7.2.3 绩效考核以工作业绩提升和员工能力发展为导向，旨在提高基金会工作业绩和团队能力；</w:t>
      </w:r>
    </w:p>
    <w:p>
      <w:pPr>
        <w:spacing w:line="360" w:lineRule="auto"/>
        <w:ind w:firstLine="480" w:firstLineChars="200"/>
        <w:rPr>
          <w:sz w:val="24"/>
          <w:szCs w:val="24"/>
        </w:rPr>
      </w:pPr>
      <w:r>
        <w:rPr>
          <w:rFonts w:hint="eastAsia"/>
          <w:sz w:val="24"/>
          <w:szCs w:val="24"/>
        </w:rPr>
        <w:t>7.2.4 将绩效考核工作贯穿于日常管理工作中；</w:t>
      </w:r>
    </w:p>
    <w:p>
      <w:pPr>
        <w:spacing w:line="360" w:lineRule="auto"/>
        <w:ind w:firstLine="480" w:firstLineChars="200"/>
        <w:rPr>
          <w:sz w:val="24"/>
          <w:szCs w:val="24"/>
        </w:rPr>
      </w:pPr>
      <w:r>
        <w:rPr>
          <w:rFonts w:hint="eastAsia"/>
          <w:sz w:val="24"/>
          <w:szCs w:val="24"/>
        </w:rPr>
        <w:t>7.</w:t>
      </w:r>
      <w:r>
        <w:rPr>
          <w:rFonts w:hint="eastAsia"/>
          <w:sz w:val="24"/>
          <w:szCs w:val="24"/>
          <w:lang w:val="en-US" w:eastAsia="zh-CN"/>
        </w:rPr>
        <w:t>2</w:t>
      </w:r>
      <w:r>
        <w:rPr>
          <w:rFonts w:hint="eastAsia"/>
          <w:sz w:val="24"/>
          <w:szCs w:val="24"/>
        </w:rPr>
        <w:t>.5 考核者与被考核者之间需进行及时有效沟通；</w:t>
      </w:r>
    </w:p>
    <w:p>
      <w:pPr>
        <w:spacing w:line="360" w:lineRule="auto"/>
        <w:ind w:firstLine="480" w:firstLineChars="200"/>
        <w:rPr>
          <w:sz w:val="24"/>
          <w:szCs w:val="24"/>
        </w:rPr>
      </w:pPr>
      <w:r>
        <w:rPr>
          <w:rFonts w:hint="eastAsia"/>
          <w:sz w:val="24"/>
          <w:szCs w:val="24"/>
        </w:rPr>
        <w:t>7.2.6考核结果经基金会综合管理部汇总报上级管理者核准，并按核准后的考核结果执行。</w:t>
      </w:r>
    </w:p>
    <w:p>
      <w:pPr>
        <w:spacing w:line="360" w:lineRule="auto"/>
        <w:ind w:firstLine="480" w:firstLineChars="200"/>
        <w:rPr>
          <w:sz w:val="24"/>
          <w:szCs w:val="24"/>
        </w:rPr>
      </w:pPr>
      <w:r>
        <w:rPr>
          <w:rFonts w:hint="eastAsia"/>
          <w:sz w:val="24"/>
          <w:szCs w:val="24"/>
        </w:rPr>
        <w:t>7.3 绩效考核需按照规定流程开展。</w:t>
      </w:r>
    </w:p>
    <w:p>
      <w:pPr>
        <w:spacing w:line="360" w:lineRule="auto"/>
        <w:ind w:firstLine="480" w:firstLineChars="200"/>
        <w:rPr>
          <w:sz w:val="24"/>
          <w:szCs w:val="24"/>
        </w:rPr>
      </w:pPr>
      <w:r>
        <w:rPr>
          <w:rFonts w:hint="eastAsia"/>
          <w:sz w:val="24"/>
          <w:szCs w:val="24"/>
        </w:rPr>
        <w:t>7.4 由上级考核、同事民主测评和自我评估3部分组成，实行360度考核。其中上级考核占50%；同事民主测评占30%；自我评估占20%。</w:t>
      </w:r>
    </w:p>
    <w:p>
      <w:pPr>
        <w:spacing w:line="360" w:lineRule="auto"/>
        <w:ind w:firstLine="480" w:firstLineChars="200"/>
        <w:rPr>
          <w:sz w:val="24"/>
          <w:szCs w:val="24"/>
        </w:rPr>
      </w:pPr>
      <w:r>
        <w:rPr>
          <w:rFonts w:hint="eastAsia"/>
          <w:sz w:val="24"/>
          <w:szCs w:val="24"/>
        </w:rPr>
        <w:t>7.5 绩效考核内容包括重点工作业绩、基础工作业绩、内部沟通协作、创新成果与胜任能力。</w:t>
      </w:r>
    </w:p>
    <w:p>
      <w:pPr>
        <w:spacing w:line="360" w:lineRule="auto"/>
        <w:ind w:firstLine="480" w:firstLineChars="200"/>
        <w:rPr>
          <w:sz w:val="24"/>
          <w:szCs w:val="24"/>
        </w:rPr>
      </w:pPr>
      <w:r>
        <w:rPr>
          <w:rFonts w:hint="eastAsia"/>
          <w:sz w:val="24"/>
          <w:szCs w:val="24"/>
        </w:rPr>
        <w:t>7.6 每年考核两次，即半年考核及年终考核。</w:t>
      </w:r>
    </w:p>
    <w:p>
      <w:pPr>
        <w:spacing w:line="360" w:lineRule="auto"/>
        <w:ind w:firstLine="480" w:firstLineChars="200"/>
        <w:rPr>
          <w:sz w:val="24"/>
          <w:szCs w:val="24"/>
        </w:rPr>
      </w:pPr>
      <w:r>
        <w:rPr>
          <w:rFonts w:hint="eastAsia"/>
          <w:sz w:val="24"/>
          <w:szCs w:val="24"/>
        </w:rPr>
        <w:t>7.7 每年年终考核后，基金会秘书长或副秘书长与每位同事进行一次总结谈话，提出期望与建议，商</w:t>
      </w:r>
      <w:r>
        <w:rPr>
          <w:rFonts w:hint="eastAsia"/>
          <w:sz w:val="24"/>
          <w:szCs w:val="24"/>
          <w:lang w:val="en-US" w:eastAsia="zh-CN"/>
        </w:rPr>
        <w:t>讨</w:t>
      </w:r>
      <w:r>
        <w:rPr>
          <w:rFonts w:hint="eastAsia"/>
          <w:sz w:val="24"/>
          <w:szCs w:val="24"/>
        </w:rPr>
        <w:t>个人下一步发展方向和计划。</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8．福利制度</w:t>
      </w:r>
    </w:p>
    <w:p>
      <w:pPr>
        <w:spacing w:line="360" w:lineRule="auto"/>
        <w:ind w:firstLine="480" w:firstLineChars="200"/>
        <w:rPr>
          <w:sz w:val="24"/>
          <w:szCs w:val="24"/>
        </w:rPr>
      </w:pPr>
      <w:r>
        <w:rPr>
          <w:rFonts w:hint="eastAsia"/>
          <w:sz w:val="24"/>
          <w:szCs w:val="24"/>
        </w:rPr>
        <w:t>8.1法定福利</w:t>
      </w:r>
    </w:p>
    <w:p>
      <w:pPr>
        <w:spacing w:line="360" w:lineRule="auto"/>
        <w:ind w:firstLine="480" w:firstLineChars="200"/>
        <w:rPr>
          <w:sz w:val="24"/>
          <w:szCs w:val="24"/>
        </w:rPr>
      </w:pPr>
      <w:r>
        <w:rPr>
          <w:rFonts w:hint="eastAsia"/>
          <w:sz w:val="24"/>
          <w:szCs w:val="24"/>
        </w:rPr>
        <w:t>8.1.1 社会保险。本基金会按照政府规定为员工缴纳社会保险，基金会与员工共同缴纳国家规定的所有社会保险及住房公积金；</w:t>
      </w:r>
    </w:p>
    <w:p>
      <w:pPr>
        <w:spacing w:line="360" w:lineRule="auto"/>
        <w:ind w:firstLine="480" w:firstLineChars="200"/>
        <w:rPr>
          <w:sz w:val="24"/>
          <w:szCs w:val="24"/>
        </w:rPr>
      </w:pPr>
      <w:r>
        <w:rPr>
          <w:rFonts w:hint="eastAsia"/>
          <w:sz w:val="24"/>
          <w:szCs w:val="24"/>
        </w:rPr>
        <w:t>8.1.2 社会保险包括:养老保险、医疗保险、失业保险、工伤保险、生育保险；</w:t>
      </w:r>
    </w:p>
    <w:p>
      <w:pPr>
        <w:spacing w:line="360" w:lineRule="auto"/>
        <w:ind w:firstLine="480" w:firstLineChars="200"/>
        <w:rPr>
          <w:sz w:val="24"/>
          <w:szCs w:val="24"/>
        </w:rPr>
      </w:pPr>
      <w:r>
        <w:rPr>
          <w:rFonts w:hint="eastAsia"/>
          <w:sz w:val="24"/>
          <w:szCs w:val="24"/>
        </w:rPr>
        <w:t>8.1.3 员工个人缴纳部分在每月工资中由机构代扣代缴。</w:t>
      </w:r>
    </w:p>
    <w:p>
      <w:pPr>
        <w:spacing w:line="360" w:lineRule="auto"/>
        <w:ind w:firstLine="480" w:firstLineChars="200"/>
        <w:rPr>
          <w:sz w:val="24"/>
          <w:szCs w:val="24"/>
        </w:rPr>
      </w:pPr>
      <w:r>
        <w:rPr>
          <w:rFonts w:hint="eastAsia"/>
          <w:sz w:val="24"/>
          <w:szCs w:val="24"/>
        </w:rPr>
        <w:t>8.2 法定带薪休假</w:t>
      </w:r>
    </w:p>
    <w:p>
      <w:pPr>
        <w:spacing w:line="360" w:lineRule="auto"/>
        <w:ind w:firstLine="480" w:firstLineChars="200"/>
        <w:rPr>
          <w:sz w:val="24"/>
          <w:szCs w:val="24"/>
        </w:rPr>
      </w:pPr>
      <w:r>
        <w:rPr>
          <w:rFonts w:hint="eastAsia"/>
          <w:sz w:val="24"/>
          <w:szCs w:val="24"/>
        </w:rPr>
        <w:t>8.2.1 法定有薪休假包括年假、婚假、产假、看护假、哺乳假、丧假，均需按《考核及请假管理制度》执行；</w:t>
      </w:r>
    </w:p>
    <w:p>
      <w:pPr>
        <w:spacing w:line="360" w:lineRule="auto"/>
        <w:ind w:firstLine="480" w:firstLineChars="200"/>
        <w:rPr>
          <w:sz w:val="24"/>
          <w:szCs w:val="24"/>
        </w:rPr>
      </w:pPr>
      <w:r>
        <w:rPr>
          <w:rFonts w:hint="eastAsia"/>
          <w:sz w:val="24"/>
          <w:szCs w:val="24"/>
        </w:rPr>
        <w:t>8.2.2 各部门需做好部门同事休假安排。一般情况下，员工应提前提交书面休假申请，部门负责人或主管领导审批通过方可休假，未经批准而不上班的按旷工处理；</w:t>
      </w:r>
    </w:p>
    <w:p>
      <w:pPr>
        <w:spacing w:line="360" w:lineRule="auto"/>
        <w:ind w:firstLine="480" w:firstLineChars="200"/>
        <w:rPr>
          <w:sz w:val="24"/>
          <w:szCs w:val="24"/>
        </w:rPr>
      </w:pPr>
      <w:r>
        <w:rPr>
          <w:rFonts w:hint="eastAsia"/>
          <w:sz w:val="24"/>
          <w:szCs w:val="24"/>
        </w:rPr>
        <w:t>8.2.3 上述带薪假期期间，工资不扣减。</w:t>
      </w:r>
    </w:p>
    <w:p>
      <w:pPr>
        <w:spacing w:line="360" w:lineRule="auto"/>
        <w:ind w:firstLine="480" w:firstLineChars="200"/>
        <w:rPr>
          <w:sz w:val="24"/>
          <w:szCs w:val="24"/>
        </w:rPr>
      </w:pPr>
      <w:r>
        <w:rPr>
          <w:rFonts w:hint="eastAsia"/>
          <w:sz w:val="24"/>
          <w:szCs w:val="24"/>
        </w:rPr>
        <w:t>8.3 事假和病假</w:t>
      </w:r>
    </w:p>
    <w:p>
      <w:pPr>
        <w:spacing w:line="360" w:lineRule="auto"/>
        <w:ind w:firstLine="480" w:firstLineChars="200"/>
        <w:rPr>
          <w:sz w:val="24"/>
          <w:szCs w:val="24"/>
        </w:rPr>
      </w:pPr>
      <w:r>
        <w:rPr>
          <w:rFonts w:hint="eastAsia"/>
          <w:sz w:val="24"/>
          <w:szCs w:val="24"/>
        </w:rPr>
        <w:t>8.3.1 员工因患病或非因工负伤，需要停止工作而实施医疗时，可以申请休病假；</w:t>
      </w:r>
    </w:p>
    <w:p>
      <w:pPr>
        <w:spacing w:line="360" w:lineRule="auto"/>
        <w:ind w:firstLine="480" w:firstLineChars="200"/>
        <w:rPr>
          <w:sz w:val="24"/>
          <w:szCs w:val="24"/>
        </w:rPr>
      </w:pPr>
      <w:r>
        <w:rPr>
          <w:rFonts w:hint="eastAsia"/>
          <w:sz w:val="24"/>
          <w:szCs w:val="24"/>
        </w:rPr>
        <w:t>8.3.2 员工休病假需按照规定实施；</w:t>
      </w:r>
    </w:p>
    <w:p>
      <w:pPr>
        <w:spacing w:line="360" w:lineRule="auto"/>
        <w:ind w:firstLine="480" w:firstLineChars="200"/>
        <w:rPr>
          <w:sz w:val="24"/>
          <w:szCs w:val="24"/>
        </w:rPr>
      </w:pPr>
      <w:r>
        <w:rPr>
          <w:rFonts w:hint="eastAsia"/>
          <w:sz w:val="24"/>
          <w:szCs w:val="24"/>
        </w:rPr>
        <w:t>8.3.3 基金会给予员工每月1天的带薪病假，每年不超出12 天；</w:t>
      </w:r>
    </w:p>
    <w:p>
      <w:pPr>
        <w:spacing w:line="360" w:lineRule="auto"/>
        <w:ind w:firstLine="480" w:firstLineChars="200"/>
        <w:rPr>
          <w:sz w:val="24"/>
          <w:szCs w:val="24"/>
        </w:rPr>
      </w:pPr>
      <w:r>
        <w:rPr>
          <w:rFonts w:hint="eastAsia"/>
          <w:sz w:val="24"/>
          <w:szCs w:val="24"/>
        </w:rPr>
        <w:t>8.3.4 员工需在用完所有补休和年假的前提下，方可申请休事假；</w:t>
      </w:r>
    </w:p>
    <w:p>
      <w:pPr>
        <w:spacing w:line="360" w:lineRule="auto"/>
        <w:ind w:firstLine="480" w:firstLineChars="200"/>
        <w:rPr>
          <w:sz w:val="24"/>
          <w:szCs w:val="24"/>
        </w:rPr>
      </w:pPr>
      <w:r>
        <w:rPr>
          <w:rFonts w:hint="eastAsia"/>
          <w:sz w:val="24"/>
          <w:szCs w:val="24"/>
        </w:rPr>
        <w:t>8.3.5 事假以工作日计，基金会不支付员工事假期间的工资及奖金；</w:t>
      </w:r>
    </w:p>
    <w:p>
      <w:pPr>
        <w:spacing w:line="360" w:lineRule="auto"/>
        <w:ind w:firstLine="480" w:firstLineChars="200"/>
        <w:rPr>
          <w:sz w:val="24"/>
          <w:szCs w:val="24"/>
        </w:rPr>
      </w:pPr>
      <w:r>
        <w:rPr>
          <w:rFonts w:hint="eastAsia"/>
          <w:sz w:val="24"/>
          <w:szCs w:val="24"/>
        </w:rPr>
        <w:t>8.3.6 员工休假在3个日历日及以上的，应提前至少1周申请；</w:t>
      </w:r>
    </w:p>
    <w:p>
      <w:pPr>
        <w:spacing w:line="360" w:lineRule="auto"/>
        <w:ind w:firstLine="480" w:firstLineChars="200"/>
        <w:rPr>
          <w:sz w:val="24"/>
          <w:szCs w:val="24"/>
        </w:rPr>
      </w:pPr>
      <w:r>
        <w:rPr>
          <w:rFonts w:hint="eastAsia"/>
          <w:sz w:val="24"/>
          <w:szCs w:val="24"/>
        </w:rPr>
        <w:t>8.3.7 每年度累计申请或使用的事假不超过30日。</w:t>
      </w:r>
    </w:p>
    <w:p>
      <w:pPr>
        <w:spacing w:line="360" w:lineRule="auto"/>
        <w:ind w:firstLine="480" w:firstLineChars="200"/>
        <w:rPr>
          <w:sz w:val="24"/>
          <w:szCs w:val="24"/>
        </w:rPr>
      </w:pPr>
      <w:r>
        <w:rPr>
          <w:rFonts w:hint="eastAsia"/>
          <w:sz w:val="24"/>
          <w:szCs w:val="24"/>
        </w:rPr>
        <w:t>8.4 健康体检</w:t>
      </w:r>
    </w:p>
    <w:p>
      <w:pPr>
        <w:spacing w:line="360" w:lineRule="auto"/>
        <w:ind w:firstLine="480" w:firstLineChars="200"/>
        <w:rPr>
          <w:sz w:val="24"/>
          <w:szCs w:val="24"/>
        </w:rPr>
      </w:pPr>
      <w:r>
        <w:rPr>
          <w:rFonts w:hint="eastAsia"/>
          <w:sz w:val="24"/>
          <w:szCs w:val="24"/>
        </w:rPr>
        <w:t>8.4.1机构为所有在职员工安排每年1 次的健康体检，体检费用由机构承担。</w:t>
      </w:r>
    </w:p>
    <w:p>
      <w:pPr>
        <w:spacing w:line="360" w:lineRule="auto"/>
        <w:ind w:firstLine="480" w:firstLineChars="200"/>
        <w:rPr>
          <w:sz w:val="24"/>
          <w:szCs w:val="24"/>
        </w:rPr>
      </w:pPr>
      <w:r>
        <w:rPr>
          <w:rFonts w:hint="eastAsia"/>
          <w:sz w:val="24"/>
          <w:szCs w:val="24"/>
        </w:rPr>
        <w:t>8.5 团队建设活动</w:t>
      </w:r>
    </w:p>
    <w:p>
      <w:pPr>
        <w:spacing w:line="360" w:lineRule="auto"/>
        <w:ind w:firstLine="480" w:firstLineChars="200"/>
        <w:rPr>
          <w:sz w:val="24"/>
          <w:szCs w:val="24"/>
        </w:rPr>
      </w:pPr>
      <w:r>
        <w:rPr>
          <w:rFonts w:hint="eastAsia"/>
          <w:sz w:val="24"/>
          <w:szCs w:val="24"/>
        </w:rPr>
        <w:t>8.5.1基金会为丰富员工的生活，体现对员工的关爱，加强团队建设及促进双向的沟通，机构组织及开展丰富多彩的员工团队建设活动，并支付相应的经费。</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9．劳动合同管理</w:t>
      </w:r>
    </w:p>
    <w:p>
      <w:pPr>
        <w:spacing w:line="360" w:lineRule="auto"/>
        <w:ind w:firstLine="480" w:firstLineChars="200"/>
        <w:rPr>
          <w:sz w:val="24"/>
          <w:szCs w:val="24"/>
        </w:rPr>
      </w:pPr>
      <w:r>
        <w:rPr>
          <w:rFonts w:hint="eastAsia"/>
          <w:sz w:val="24"/>
          <w:szCs w:val="24"/>
        </w:rPr>
        <w:t>9.1劳动合同订立</w:t>
      </w:r>
    </w:p>
    <w:p>
      <w:pPr>
        <w:spacing w:line="360" w:lineRule="auto"/>
        <w:ind w:firstLine="480" w:firstLineChars="200"/>
        <w:rPr>
          <w:sz w:val="24"/>
          <w:szCs w:val="24"/>
        </w:rPr>
      </w:pPr>
      <w:r>
        <w:rPr>
          <w:rFonts w:hint="eastAsia"/>
          <w:sz w:val="24"/>
          <w:szCs w:val="24"/>
        </w:rPr>
        <w:t>9.1.1 新招聘员工入职手续办理完毕后，与本基金会签订书面劳动合同，劳动合同签订前双方需协商一致；</w:t>
      </w:r>
    </w:p>
    <w:p>
      <w:pPr>
        <w:spacing w:line="360" w:lineRule="auto"/>
        <w:ind w:firstLine="480" w:firstLineChars="200"/>
        <w:rPr>
          <w:sz w:val="24"/>
          <w:szCs w:val="24"/>
        </w:rPr>
      </w:pPr>
      <w:r>
        <w:rPr>
          <w:rFonts w:hint="eastAsia"/>
          <w:sz w:val="24"/>
          <w:szCs w:val="24"/>
        </w:rPr>
        <w:t>9.1.2订立劳动合同文本应使用本基金会统一印制的劳动合同文本，自双方签订之日起生效，录用备案后基金会与员工双方各执一份。</w:t>
      </w:r>
    </w:p>
    <w:p>
      <w:pPr>
        <w:spacing w:line="360" w:lineRule="auto"/>
        <w:ind w:firstLine="480" w:firstLineChars="200"/>
        <w:rPr>
          <w:sz w:val="24"/>
          <w:szCs w:val="24"/>
        </w:rPr>
      </w:pPr>
      <w:r>
        <w:rPr>
          <w:rFonts w:hint="eastAsia"/>
          <w:sz w:val="24"/>
          <w:szCs w:val="24"/>
        </w:rPr>
        <w:t>9.2劳动合同续签</w:t>
      </w:r>
    </w:p>
    <w:p>
      <w:pPr>
        <w:spacing w:line="360" w:lineRule="auto"/>
        <w:ind w:firstLine="480" w:firstLineChars="200"/>
        <w:rPr>
          <w:sz w:val="24"/>
          <w:szCs w:val="24"/>
        </w:rPr>
      </w:pPr>
      <w:r>
        <w:rPr>
          <w:rFonts w:hint="eastAsia"/>
          <w:sz w:val="24"/>
          <w:szCs w:val="24"/>
        </w:rPr>
        <w:t>9.2.1 劳动合同期满后，根据本基金会发展需求、员工综合工作表现等，经双方协商一致，可以续订劳动合同。</w:t>
      </w:r>
    </w:p>
    <w:p>
      <w:pPr>
        <w:spacing w:line="360" w:lineRule="auto"/>
        <w:ind w:firstLine="480" w:firstLineChars="200"/>
        <w:rPr>
          <w:sz w:val="24"/>
          <w:szCs w:val="24"/>
        </w:rPr>
      </w:pPr>
      <w:r>
        <w:rPr>
          <w:rFonts w:hint="eastAsia"/>
          <w:sz w:val="24"/>
          <w:szCs w:val="24"/>
        </w:rPr>
        <w:t>9.3劳动合同期限</w:t>
      </w:r>
    </w:p>
    <w:p>
      <w:pPr>
        <w:spacing w:line="360" w:lineRule="auto"/>
        <w:ind w:firstLine="480" w:firstLineChars="200"/>
        <w:rPr>
          <w:sz w:val="24"/>
          <w:szCs w:val="24"/>
        </w:rPr>
      </w:pPr>
      <w:r>
        <w:rPr>
          <w:rFonts w:hint="eastAsia"/>
          <w:sz w:val="24"/>
          <w:szCs w:val="24"/>
        </w:rPr>
        <w:t>9.3.1 本基金会所有员工劳动合同期限为两年，试用期最长不超过三个月；</w:t>
      </w:r>
    </w:p>
    <w:p>
      <w:pPr>
        <w:spacing w:line="360" w:lineRule="auto"/>
        <w:ind w:firstLine="480" w:firstLineChars="200"/>
        <w:rPr>
          <w:sz w:val="24"/>
          <w:szCs w:val="24"/>
        </w:rPr>
      </w:pPr>
      <w:r>
        <w:rPr>
          <w:rFonts w:hint="eastAsia"/>
          <w:sz w:val="24"/>
          <w:szCs w:val="24"/>
        </w:rPr>
        <w:t>9.3.2续签劳动合同期限一般为一至两年。</w:t>
      </w:r>
    </w:p>
    <w:p>
      <w:pPr>
        <w:spacing w:line="360" w:lineRule="auto"/>
        <w:ind w:firstLine="480" w:firstLineChars="200"/>
        <w:rPr>
          <w:sz w:val="24"/>
          <w:szCs w:val="24"/>
        </w:rPr>
      </w:pPr>
      <w:r>
        <w:rPr>
          <w:rFonts w:hint="eastAsia"/>
          <w:sz w:val="24"/>
          <w:szCs w:val="24"/>
        </w:rPr>
        <w:t>9.4劳动合同解除</w:t>
      </w:r>
    </w:p>
    <w:p>
      <w:pPr>
        <w:spacing w:line="360" w:lineRule="auto"/>
        <w:ind w:firstLine="480" w:firstLineChars="200"/>
        <w:rPr>
          <w:sz w:val="24"/>
          <w:szCs w:val="24"/>
        </w:rPr>
      </w:pPr>
      <w:r>
        <w:rPr>
          <w:rFonts w:hint="eastAsia"/>
          <w:sz w:val="24"/>
          <w:szCs w:val="24"/>
        </w:rPr>
        <w:t>9.4.1本基金会与员工协商一致，劳动合同可以解除；</w:t>
      </w:r>
    </w:p>
    <w:p>
      <w:pPr>
        <w:spacing w:line="360" w:lineRule="auto"/>
        <w:ind w:firstLine="480" w:firstLineChars="200"/>
        <w:rPr>
          <w:sz w:val="24"/>
          <w:szCs w:val="24"/>
        </w:rPr>
      </w:pPr>
      <w:r>
        <w:rPr>
          <w:rFonts w:hint="eastAsia"/>
          <w:sz w:val="24"/>
          <w:szCs w:val="24"/>
        </w:rPr>
        <w:t>9.4.2 员工解除劳动合同，应当提前三十日填写书面申请，经所在部门签批后，上交本基金会综合管理部，经秘书长审批同意后方可离岗；</w:t>
      </w:r>
    </w:p>
    <w:p>
      <w:pPr>
        <w:spacing w:line="360" w:lineRule="auto"/>
        <w:ind w:firstLine="480" w:firstLineChars="200"/>
        <w:rPr>
          <w:sz w:val="24"/>
          <w:szCs w:val="24"/>
        </w:rPr>
      </w:pPr>
      <w:r>
        <w:rPr>
          <w:rFonts w:hint="eastAsia"/>
          <w:sz w:val="24"/>
          <w:szCs w:val="24"/>
        </w:rPr>
        <w:t>9.4.3员工有下列情形之一的，本基金会可提前三十日以书面形式通知员工解除劳动合同：</w:t>
      </w:r>
    </w:p>
    <w:p>
      <w:pPr>
        <w:spacing w:line="360" w:lineRule="auto"/>
        <w:ind w:firstLine="480" w:firstLineChars="200"/>
        <w:rPr>
          <w:sz w:val="24"/>
          <w:szCs w:val="24"/>
        </w:rPr>
      </w:pPr>
      <w:r>
        <w:rPr>
          <w:rFonts w:hint="eastAsia"/>
          <w:sz w:val="24"/>
          <w:szCs w:val="24"/>
        </w:rPr>
        <w:t>9.4.3.1员工患病或者非因工负伤，医疗期满后，不能从事原工作也不能从事由本基金会另行安排的工作的；</w:t>
      </w:r>
    </w:p>
    <w:p>
      <w:pPr>
        <w:spacing w:line="360" w:lineRule="auto"/>
        <w:ind w:firstLine="480" w:firstLineChars="200"/>
        <w:rPr>
          <w:sz w:val="24"/>
          <w:szCs w:val="24"/>
        </w:rPr>
      </w:pPr>
      <w:r>
        <w:rPr>
          <w:rFonts w:hint="eastAsia"/>
          <w:sz w:val="24"/>
          <w:szCs w:val="24"/>
        </w:rPr>
        <w:t>9.4.3.2 员工不能胜任工作，经过培训或者调整工作岗位后仍不能胜任工作的；</w:t>
      </w:r>
    </w:p>
    <w:p>
      <w:pPr>
        <w:spacing w:line="360" w:lineRule="auto"/>
        <w:ind w:firstLine="480" w:firstLineChars="200"/>
        <w:rPr>
          <w:sz w:val="24"/>
          <w:szCs w:val="24"/>
        </w:rPr>
      </w:pPr>
      <w:r>
        <w:rPr>
          <w:rFonts w:hint="eastAsia"/>
          <w:sz w:val="24"/>
          <w:szCs w:val="24"/>
        </w:rPr>
        <w:t>9.4.3.3 劳动合同订立时所依据的客观情况发生重大变化，致使原劳动合同无法履行，经双方协商不能就变更劳动合同达成协议的。</w:t>
      </w:r>
    </w:p>
    <w:p>
      <w:pPr>
        <w:spacing w:line="360" w:lineRule="auto"/>
        <w:ind w:firstLine="480" w:firstLineChars="200"/>
        <w:rPr>
          <w:sz w:val="24"/>
          <w:szCs w:val="24"/>
        </w:rPr>
      </w:pPr>
      <w:r>
        <w:rPr>
          <w:rFonts w:hint="eastAsia"/>
          <w:sz w:val="24"/>
          <w:szCs w:val="24"/>
        </w:rPr>
        <w:t>9.4.4 员工有下列情形之一的，本基金会可以随时解除劳动合同：</w:t>
      </w:r>
    </w:p>
    <w:p>
      <w:pPr>
        <w:spacing w:line="360" w:lineRule="auto"/>
        <w:ind w:firstLine="480" w:firstLineChars="200"/>
        <w:rPr>
          <w:sz w:val="24"/>
          <w:szCs w:val="24"/>
        </w:rPr>
      </w:pPr>
      <w:r>
        <w:rPr>
          <w:rFonts w:hint="eastAsia"/>
          <w:sz w:val="24"/>
          <w:szCs w:val="24"/>
        </w:rPr>
        <w:t>9.4.4.1在试用期间被证明不符合录用条件的，具体包括以下几种情况：员工不能胜任安排的岗位工作或者不能按照规定完成工作任务的；员工伪造、虚报学历、学位，技术技能、职称证书，杜撰工作经历、资历，经查证属实的；员工隐瞒疾病，身体健康状况不能从事本岗工作；员工有不良嗜好或者不良习气，影响本基金会形象的；员工品行不端正，职业道德不规范的；员工屡次违反本基金会劳动纪律、规章制度的；其他相关情况；</w:t>
      </w:r>
    </w:p>
    <w:p>
      <w:pPr>
        <w:spacing w:line="360" w:lineRule="auto"/>
        <w:ind w:firstLine="480" w:firstLineChars="200"/>
        <w:rPr>
          <w:sz w:val="24"/>
          <w:szCs w:val="24"/>
        </w:rPr>
      </w:pPr>
      <w:r>
        <w:rPr>
          <w:rFonts w:hint="eastAsia"/>
          <w:sz w:val="24"/>
          <w:szCs w:val="24"/>
        </w:rPr>
        <w:t>9.4.4.2严重违反劳动纪律或者本基金会规章制度的；</w:t>
      </w:r>
    </w:p>
    <w:p>
      <w:pPr>
        <w:spacing w:line="360" w:lineRule="auto"/>
        <w:ind w:firstLine="480" w:firstLineChars="200"/>
        <w:rPr>
          <w:sz w:val="24"/>
          <w:szCs w:val="24"/>
        </w:rPr>
      </w:pPr>
      <w:r>
        <w:rPr>
          <w:rFonts w:hint="eastAsia"/>
          <w:sz w:val="24"/>
          <w:szCs w:val="24"/>
        </w:rPr>
        <w:t>9.4.4.3 被依法追究刑事责任的；</w:t>
      </w:r>
    </w:p>
    <w:p>
      <w:pPr>
        <w:spacing w:line="360" w:lineRule="auto"/>
        <w:ind w:firstLine="480" w:firstLineChars="200"/>
        <w:rPr>
          <w:sz w:val="24"/>
          <w:szCs w:val="24"/>
        </w:rPr>
      </w:pPr>
      <w:r>
        <w:rPr>
          <w:rFonts w:hint="eastAsia"/>
          <w:sz w:val="24"/>
          <w:szCs w:val="24"/>
        </w:rPr>
        <w:t>9.4.4.4 法律、法规规定的其他情形。</w:t>
      </w:r>
    </w:p>
    <w:p>
      <w:pPr>
        <w:spacing w:line="360" w:lineRule="auto"/>
        <w:ind w:firstLine="480" w:firstLineChars="200"/>
        <w:rPr>
          <w:sz w:val="24"/>
          <w:szCs w:val="24"/>
        </w:rPr>
      </w:pPr>
      <w:r>
        <w:rPr>
          <w:rFonts w:hint="eastAsia"/>
          <w:sz w:val="24"/>
          <w:szCs w:val="24"/>
        </w:rPr>
        <w:t>9.5 劳动合同终止</w:t>
      </w:r>
    </w:p>
    <w:p>
      <w:pPr>
        <w:spacing w:line="360" w:lineRule="auto"/>
        <w:ind w:firstLine="480" w:firstLineChars="200"/>
        <w:rPr>
          <w:sz w:val="24"/>
          <w:szCs w:val="24"/>
        </w:rPr>
      </w:pPr>
      <w:r>
        <w:rPr>
          <w:rFonts w:hint="eastAsia"/>
          <w:sz w:val="24"/>
          <w:szCs w:val="24"/>
        </w:rPr>
        <w:t>9.5.1劳动合同期满后或者双方约定的劳动合同终止条件出现的，劳动合同自行终止；</w:t>
      </w:r>
    </w:p>
    <w:p>
      <w:pPr>
        <w:spacing w:line="360" w:lineRule="auto"/>
        <w:ind w:firstLine="480" w:firstLineChars="200"/>
        <w:rPr>
          <w:sz w:val="24"/>
          <w:szCs w:val="24"/>
        </w:rPr>
      </w:pPr>
      <w:r>
        <w:rPr>
          <w:rFonts w:hint="eastAsia"/>
          <w:sz w:val="24"/>
          <w:szCs w:val="24"/>
        </w:rPr>
        <w:t>9.5.2 劳动者患职业病、因工负伤，被确认为部分丧失劳动能力或者完全丧失劳动能力，本基金会按照规定支付伤残就业补助金的，或经协商一致，劳动合同可以终止；</w:t>
      </w:r>
    </w:p>
    <w:p>
      <w:pPr>
        <w:spacing w:line="360" w:lineRule="auto"/>
        <w:ind w:firstLine="480" w:firstLineChars="200"/>
        <w:rPr>
          <w:sz w:val="24"/>
          <w:szCs w:val="24"/>
        </w:rPr>
      </w:pPr>
      <w:r>
        <w:rPr>
          <w:rFonts w:hint="eastAsia"/>
          <w:sz w:val="24"/>
          <w:szCs w:val="24"/>
        </w:rPr>
        <w:t xml:space="preserve">9.5.3 本基金会提出终止劳动关系，应当提前三十日通知员工； </w:t>
      </w:r>
    </w:p>
    <w:p>
      <w:pPr>
        <w:spacing w:line="360" w:lineRule="auto"/>
        <w:ind w:firstLine="480" w:firstLineChars="200"/>
        <w:rPr>
          <w:sz w:val="24"/>
          <w:szCs w:val="24"/>
        </w:rPr>
      </w:pPr>
      <w:r>
        <w:rPr>
          <w:rFonts w:hint="eastAsia"/>
          <w:sz w:val="24"/>
          <w:szCs w:val="24"/>
        </w:rPr>
        <w:t>9.6 劳动合同解除或者终止，基金会应当出具解除或者终止劳动合同关系的有效证明，员工可以凭有效证明材料，直接办理失业登记手续。</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10．离职手续</w:t>
      </w:r>
    </w:p>
    <w:p>
      <w:pPr>
        <w:spacing w:line="360" w:lineRule="auto"/>
        <w:ind w:firstLine="480" w:firstLineChars="200"/>
        <w:rPr>
          <w:sz w:val="24"/>
          <w:szCs w:val="24"/>
        </w:rPr>
      </w:pPr>
      <w:r>
        <w:rPr>
          <w:rFonts w:hint="eastAsia"/>
          <w:sz w:val="24"/>
          <w:szCs w:val="24"/>
        </w:rPr>
        <w:t>10.1 员工因触犯法律嫌疑重大而被羁押或提起公诉者，本基金会可命令其停职，但经侦查处撤诉或判决无罪确定后，可予复职。</w:t>
      </w:r>
    </w:p>
    <w:p>
      <w:pPr>
        <w:spacing w:line="360" w:lineRule="auto"/>
        <w:ind w:firstLine="480" w:firstLineChars="200"/>
        <w:rPr>
          <w:sz w:val="24"/>
          <w:szCs w:val="24"/>
        </w:rPr>
      </w:pPr>
      <w:r>
        <w:rPr>
          <w:rFonts w:hint="eastAsia"/>
          <w:sz w:val="24"/>
          <w:szCs w:val="24"/>
        </w:rPr>
        <w:t>10.2 员工自请辞职者，应于请辞日三十日前递交辞职报告与《辞职申请表》（附件7）并经核准，在未获批准前不得离职，擅自离职者以旷工论处。</w:t>
      </w:r>
    </w:p>
    <w:p>
      <w:pPr>
        <w:spacing w:line="360" w:lineRule="auto"/>
        <w:ind w:firstLine="480" w:firstLineChars="200"/>
        <w:rPr>
          <w:sz w:val="24"/>
          <w:szCs w:val="24"/>
        </w:rPr>
      </w:pPr>
      <w:r>
        <w:rPr>
          <w:rFonts w:hint="eastAsia"/>
          <w:sz w:val="24"/>
          <w:szCs w:val="24"/>
        </w:rPr>
        <w:t>10.3 员工离职，均应办理交接手续，经各部门交接人签准后，并报秘书长同意后，才能办理离职手续。</w:t>
      </w:r>
    </w:p>
    <w:p>
      <w:pPr>
        <w:spacing w:line="360" w:lineRule="auto"/>
        <w:ind w:firstLine="480" w:firstLineChars="200"/>
        <w:rPr>
          <w:sz w:val="24"/>
          <w:szCs w:val="24"/>
        </w:rPr>
      </w:pPr>
      <w:r>
        <w:rPr>
          <w:rFonts w:hint="eastAsia"/>
          <w:sz w:val="24"/>
          <w:szCs w:val="24"/>
        </w:rPr>
        <w:t>10.4 离职人员应按照本基金会有关规定，及时办理离职各项手续，及时办理工作资产、办公用品、相关资料等退还手续。</w:t>
      </w:r>
    </w:p>
    <w:p>
      <w:pPr>
        <w:spacing w:line="360" w:lineRule="auto"/>
        <w:ind w:firstLine="480" w:firstLineChars="200"/>
        <w:rPr>
          <w:sz w:val="24"/>
          <w:szCs w:val="24"/>
        </w:rPr>
      </w:pPr>
      <w:r>
        <w:rPr>
          <w:rFonts w:hint="eastAsia"/>
          <w:sz w:val="24"/>
          <w:szCs w:val="24"/>
        </w:rPr>
        <w:t>10.5 员工离职相关手续办理完毕后，方可至财务部结算离职工资，离职手续不清的员工不予结算其离职工资。</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11．交卸手续</w:t>
      </w:r>
    </w:p>
    <w:p>
      <w:pPr>
        <w:spacing w:line="360" w:lineRule="auto"/>
        <w:ind w:firstLine="480" w:firstLineChars="200"/>
        <w:rPr>
          <w:sz w:val="24"/>
          <w:szCs w:val="24"/>
        </w:rPr>
      </w:pPr>
      <w:r>
        <w:rPr>
          <w:rFonts w:hint="eastAsia"/>
          <w:sz w:val="24"/>
          <w:szCs w:val="24"/>
        </w:rPr>
        <w:t>11.1 当人员发生变动时，变动员工应主动办理交卸手续。</w:t>
      </w:r>
    </w:p>
    <w:p>
      <w:pPr>
        <w:spacing w:line="360" w:lineRule="auto"/>
        <w:ind w:firstLine="480" w:firstLineChars="200"/>
        <w:rPr>
          <w:sz w:val="24"/>
          <w:szCs w:val="24"/>
        </w:rPr>
      </w:pPr>
      <w:r>
        <w:rPr>
          <w:rFonts w:hint="eastAsia"/>
          <w:sz w:val="24"/>
          <w:szCs w:val="24"/>
        </w:rPr>
        <w:t>11.2 交卸内容及范围：</w:t>
      </w:r>
    </w:p>
    <w:p>
      <w:pPr>
        <w:spacing w:line="360" w:lineRule="auto"/>
        <w:ind w:firstLine="480" w:firstLineChars="200"/>
        <w:rPr>
          <w:sz w:val="24"/>
          <w:szCs w:val="24"/>
        </w:rPr>
      </w:pPr>
      <w:r>
        <w:rPr>
          <w:rFonts w:hint="eastAsia"/>
          <w:sz w:val="24"/>
          <w:szCs w:val="24"/>
        </w:rPr>
        <w:t>11.2.1 工作内容及进度说明；</w:t>
      </w:r>
    </w:p>
    <w:p>
      <w:pPr>
        <w:spacing w:line="360" w:lineRule="auto"/>
        <w:ind w:firstLine="480" w:firstLineChars="200"/>
        <w:rPr>
          <w:sz w:val="24"/>
          <w:szCs w:val="24"/>
        </w:rPr>
      </w:pPr>
      <w:r>
        <w:rPr>
          <w:rFonts w:hint="eastAsia"/>
          <w:sz w:val="24"/>
          <w:szCs w:val="24"/>
        </w:rPr>
        <w:t>11.2.2未办及未了事项；</w:t>
      </w:r>
    </w:p>
    <w:p>
      <w:pPr>
        <w:spacing w:line="360" w:lineRule="auto"/>
        <w:ind w:firstLine="480" w:firstLineChars="200"/>
        <w:rPr>
          <w:sz w:val="24"/>
          <w:szCs w:val="24"/>
        </w:rPr>
      </w:pPr>
      <w:r>
        <w:rPr>
          <w:rFonts w:hint="eastAsia"/>
          <w:sz w:val="24"/>
          <w:szCs w:val="24"/>
        </w:rPr>
        <w:t>11.2.3 主管之财物及事务；</w:t>
      </w:r>
    </w:p>
    <w:p>
      <w:pPr>
        <w:spacing w:line="360" w:lineRule="auto"/>
        <w:ind w:firstLine="480" w:firstLineChars="200"/>
        <w:rPr>
          <w:sz w:val="24"/>
          <w:szCs w:val="24"/>
        </w:rPr>
      </w:pPr>
      <w:r>
        <w:rPr>
          <w:rFonts w:hint="eastAsia"/>
          <w:sz w:val="24"/>
          <w:szCs w:val="24"/>
        </w:rPr>
        <w:t>11.2.4 公有财务。</w:t>
      </w:r>
    </w:p>
    <w:p>
      <w:pPr>
        <w:spacing w:line="360" w:lineRule="auto"/>
        <w:ind w:firstLine="480" w:firstLineChars="200"/>
        <w:rPr>
          <w:sz w:val="24"/>
          <w:szCs w:val="24"/>
        </w:rPr>
      </w:pPr>
      <w:r>
        <w:rPr>
          <w:rFonts w:hint="eastAsia"/>
          <w:sz w:val="24"/>
          <w:szCs w:val="24"/>
        </w:rPr>
        <w:t>11.3 交卸手续</w:t>
      </w:r>
    </w:p>
    <w:p>
      <w:pPr>
        <w:spacing w:line="360" w:lineRule="auto"/>
        <w:ind w:firstLine="480" w:firstLineChars="200"/>
        <w:rPr>
          <w:sz w:val="24"/>
          <w:szCs w:val="24"/>
        </w:rPr>
      </w:pPr>
      <w:r>
        <w:rPr>
          <w:rFonts w:hint="eastAsia"/>
          <w:sz w:val="24"/>
          <w:szCs w:val="24"/>
        </w:rPr>
        <w:t>11.3.1 离职员工整理负责工作及文档，向合作伙伴说明离职及接替工作员工相关事宜；</w:t>
      </w:r>
    </w:p>
    <w:p>
      <w:pPr>
        <w:spacing w:line="360" w:lineRule="auto"/>
        <w:ind w:firstLine="480" w:firstLineChars="200"/>
        <w:rPr>
          <w:sz w:val="24"/>
          <w:szCs w:val="24"/>
        </w:rPr>
      </w:pPr>
      <w:r>
        <w:rPr>
          <w:rFonts w:hint="eastAsia"/>
          <w:sz w:val="24"/>
          <w:szCs w:val="24"/>
        </w:rPr>
        <w:t>11.3.2 离职员工与接替其工作的员工进行工作和相关文件资料的交接，在《离职交接表》和《离职交接工作明细》上签字确认；</w:t>
      </w:r>
    </w:p>
    <w:p>
      <w:pPr>
        <w:spacing w:line="360" w:lineRule="auto"/>
        <w:ind w:firstLine="480" w:firstLineChars="200"/>
        <w:rPr>
          <w:sz w:val="24"/>
          <w:szCs w:val="24"/>
        </w:rPr>
      </w:pPr>
      <w:r>
        <w:rPr>
          <w:rFonts w:hint="eastAsia"/>
          <w:sz w:val="24"/>
          <w:szCs w:val="24"/>
        </w:rPr>
        <w:t>11.3.3 离职员工将主管物品和办公用品与综合行政部办理交接手续，综合部在《离职交接表》上签字确认；</w:t>
      </w:r>
    </w:p>
    <w:p>
      <w:pPr>
        <w:spacing w:line="360" w:lineRule="auto"/>
        <w:ind w:firstLine="480" w:firstLineChars="200"/>
        <w:rPr>
          <w:sz w:val="24"/>
          <w:szCs w:val="24"/>
        </w:rPr>
      </w:pPr>
      <w:r>
        <w:rPr>
          <w:rFonts w:hint="eastAsia"/>
          <w:sz w:val="24"/>
          <w:szCs w:val="24"/>
        </w:rPr>
        <w:t>11.3.4 离职员工与财务部完成相关财务事宜处理，财务部在《离职交接表》上签字确认；</w:t>
      </w:r>
    </w:p>
    <w:p>
      <w:pPr>
        <w:spacing w:line="360" w:lineRule="auto"/>
        <w:ind w:firstLine="480" w:firstLineChars="200"/>
        <w:rPr>
          <w:sz w:val="24"/>
          <w:szCs w:val="24"/>
        </w:rPr>
      </w:pPr>
      <w:r>
        <w:rPr>
          <w:rFonts w:hint="eastAsia"/>
          <w:sz w:val="24"/>
          <w:szCs w:val="24"/>
        </w:rPr>
        <w:t>11.3.5 离职员工将《离职交接表》提交至其主管领导签字确认，再至财务部结算离职工资。</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12．其他</w:t>
      </w:r>
    </w:p>
    <w:p>
      <w:pPr>
        <w:spacing w:line="360" w:lineRule="auto"/>
        <w:ind w:firstLine="480" w:firstLineChars="200"/>
        <w:rPr>
          <w:sz w:val="24"/>
          <w:szCs w:val="24"/>
        </w:rPr>
      </w:pPr>
      <w:r>
        <w:rPr>
          <w:rFonts w:hint="eastAsia"/>
          <w:sz w:val="24"/>
          <w:szCs w:val="24"/>
        </w:rPr>
        <w:t>12.1 员工应遵守本基金会一切规章及公告。</w:t>
      </w:r>
    </w:p>
    <w:p>
      <w:pPr>
        <w:spacing w:line="360" w:lineRule="auto"/>
        <w:ind w:firstLine="480" w:firstLineChars="200"/>
        <w:rPr>
          <w:sz w:val="24"/>
          <w:szCs w:val="24"/>
        </w:rPr>
      </w:pPr>
      <w:r>
        <w:rPr>
          <w:rFonts w:hint="eastAsia"/>
          <w:sz w:val="24"/>
          <w:szCs w:val="24"/>
        </w:rPr>
        <w:t>12.2 员工应接受上级主管之指挥与监督，如有意见应于事前述明核办。</w:t>
      </w:r>
    </w:p>
    <w:p>
      <w:pPr>
        <w:spacing w:line="360" w:lineRule="auto"/>
        <w:ind w:firstLine="480" w:firstLineChars="200"/>
        <w:rPr>
          <w:sz w:val="24"/>
          <w:szCs w:val="24"/>
        </w:rPr>
      </w:pPr>
      <w:r>
        <w:rPr>
          <w:rFonts w:hint="eastAsia"/>
          <w:sz w:val="24"/>
          <w:szCs w:val="24"/>
        </w:rPr>
        <w:t>12.3 全体员工应尊重本基金会信誉，除办理本基金会指定任务外，不得擅用基金会名义。</w:t>
      </w:r>
    </w:p>
    <w:p>
      <w:pPr>
        <w:spacing w:line="360" w:lineRule="auto"/>
        <w:ind w:firstLine="480" w:firstLineChars="200"/>
        <w:rPr>
          <w:sz w:val="24"/>
          <w:szCs w:val="24"/>
        </w:rPr>
      </w:pPr>
      <w:r>
        <w:rPr>
          <w:rFonts w:hint="eastAsia"/>
          <w:sz w:val="24"/>
          <w:szCs w:val="24"/>
        </w:rPr>
        <w:t>12.4 本基金会员工执行职务时，应力求切实，不得畏难规避，互相推诿或无故稽延。</w:t>
      </w:r>
    </w:p>
    <w:p>
      <w:pPr>
        <w:spacing w:line="360" w:lineRule="auto"/>
        <w:ind w:firstLine="480" w:firstLineChars="200"/>
        <w:rPr>
          <w:sz w:val="24"/>
          <w:szCs w:val="24"/>
        </w:rPr>
      </w:pPr>
      <w:r>
        <w:rPr>
          <w:rFonts w:hint="eastAsia"/>
          <w:sz w:val="24"/>
          <w:szCs w:val="24"/>
        </w:rPr>
        <w:t>12.5 本基金会员工处理业务，对一切公物应加爱护。</w:t>
      </w:r>
    </w:p>
    <w:p>
      <w:pPr>
        <w:spacing w:line="360" w:lineRule="auto"/>
        <w:ind w:firstLine="480" w:firstLineChars="200"/>
        <w:rPr>
          <w:sz w:val="24"/>
          <w:szCs w:val="24"/>
        </w:rPr>
      </w:pPr>
      <w:r>
        <w:rPr>
          <w:rFonts w:hint="eastAsia"/>
          <w:sz w:val="24"/>
          <w:szCs w:val="24"/>
        </w:rPr>
        <w:t>12.6 本基金会员工对外接洽事项，应态度谦和，不得有损害本机构名誉之行为。</w:t>
      </w:r>
    </w:p>
    <w:p>
      <w:pPr>
        <w:spacing w:line="360" w:lineRule="auto"/>
        <w:ind w:firstLine="480" w:firstLineChars="200"/>
        <w:rPr>
          <w:sz w:val="24"/>
          <w:szCs w:val="24"/>
        </w:rPr>
      </w:pPr>
      <w:r>
        <w:rPr>
          <w:rFonts w:hint="eastAsia"/>
          <w:sz w:val="24"/>
          <w:szCs w:val="24"/>
        </w:rPr>
        <w:t>12.7 本基金会员工应彼此通力合作，同舟共济，不得妄生意见、吵闹、斗殴、拨弄是非或其他扰乱秩序、妨碍风纪。</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13．附则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rPr>
          <w:sz w:val="24"/>
          <w:szCs w:val="24"/>
        </w:rPr>
      </w:pPr>
    </w:p>
    <w:p>
      <w:pPr>
        <w:spacing w:before="156" w:beforeLines="50" w:after="156" w:afterLines="50" w:line="360" w:lineRule="auto"/>
        <w:jc w:val="center"/>
        <w:outlineLvl w:val="1"/>
        <w:rPr>
          <w:rFonts w:ascii="黑体" w:hAnsi="黑体" w:eastAsia="黑体"/>
          <w:b/>
          <w:sz w:val="32"/>
          <w:szCs w:val="32"/>
        </w:rPr>
      </w:pPr>
      <w:bookmarkStart w:id="34" w:name="_Toc27076"/>
      <w:bookmarkStart w:id="35" w:name="_Toc403829191"/>
      <w:r>
        <w:rPr>
          <w:rFonts w:hint="eastAsia" w:ascii="黑体" w:hAnsi="黑体" w:eastAsia="黑体"/>
          <w:b/>
          <w:sz w:val="32"/>
          <w:szCs w:val="32"/>
        </w:rPr>
        <w:t>十</w:t>
      </w:r>
      <w:r>
        <w:rPr>
          <w:rFonts w:hint="eastAsia" w:ascii="黑体" w:hAnsi="黑体" w:eastAsia="黑体"/>
          <w:b/>
          <w:sz w:val="32"/>
          <w:szCs w:val="32"/>
          <w:lang w:val="en-US" w:eastAsia="zh-CN"/>
        </w:rPr>
        <w:t>九</w:t>
      </w:r>
      <w:r>
        <w:rPr>
          <w:rFonts w:hint="eastAsia" w:ascii="黑体" w:hAnsi="黑体" w:eastAsia="黑体"/>
          <w:b/>
          <w:sz w:val="32"/>
          <w:szCs w:val="32"/>
        </w:rPr>
        <w:t xml:space="preserve"> </w:t>
      </w:r>
      <w:r>
        <w:rPr>
          <w:rFonts w:hint="eastAsia" w:ascii="黑体" w:hAnsi="黑体" w:eastAsia="黑体"/>
          <w:b/>
          <w:sz w:val="32"/>
          <w:szCs w:val="32"/>
          <w:lang w:eastAsia="zh-CN"/>
        </w:rPr>
        <w:t>北京天地文化发展</w:t>
      </w:r>
      <w:r>
        <w:rPr>
          <w:rFonts w:hint="eastAsia" w:ascii="黑体" w:hAnsi="黑体" w:eastAsia="黑体"/>
          <w:b/>
          <w:sz w:val="32"/>
          <w:szCs w:val="32"/>
        </w:rPr>
        <w:t>基金会培训制度</w:t>
      </w:r>
      <w:bookmarkEnd w:id="34"/>
      <w:bookmarkEnd w:id="35"/>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 为提高</w:t>
      </w:r>
      <w:r>
        <w:rPr>
          <w:rFonts w:hint="eastAsia"/>
          <w:sz w:val="24"/>
          <w:szCs w:val="24"/>
          <w:lang w:eastAsia="zh-CN"/>
        </w:rPr>
        <w:t>北京天地文化发展</w:t>
      </w:r>
      <w:r>
        <w:rPr>
          <w:rFonts w:hint="eastAsia"/>
          <w:sz w:val="24"/>
          <w:szCs w:val="24"/>
        </w:rPr>
        <w:t>基金会（以下简称“本基金会”）人员职业素质，充实其专业知识与技能，满足本基金会发展和员工发展需求，创建优秀的员工队伍，建立学习型组织，特制定本制度。</w:t>
      </w:r>
    </w:p>
    <w:p>
      <w:pPr>
        <w:spacing w:line="360" w:lineRule="auto"/>
        <w:ind w:firstLine="480" w:firstLineChars="200"/>
        <w:rPr>
          <w:sz w:val="24"/>
          <w:szCs w:val="24"/>
        </w:rPr>
      </w:pPr>
      <w:r>
        <w:rPr>
          <w:rFonts w:hint="eastAsia"/>
          <w:sz w:val="24"/>
          <w:szCs w:val="24"/>
        </w:rPr>
        <w:t>1.2 团队业务素质和能力是基金会工作有效开展和基金会发展的关键，基金会高度重视培训的开展和落实。</w:t>
      </w:r>
    </w:p>
    <w:p>
      <w:pPr>
        <w:spacing w:line="360" w:lineRule="auto"/>
        <w:ind w:firstLine="480" w:firstLineChars="200"/>
        <w:rPr>
          <w:sz w:val="24"/>
          <w:szCs w:val="24"/>
        </w:rPr>
      </w:pPr>
      <w:r>
        <w:rPr>
          <w:rFonts w:hint="eastAsia"/>
          <w:sz w:val="24"/>
          <w:szCs w:val="24"/>
        </w:rPr>
        <w:t>1.3 凡本基金会所属成员的业务培训及其有关作业事项均依本规定办理。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2．培训的组织策划和实施</w:t>
      </w:r>
    </w:p>
    <w:p>
      <w:pPr>
        <w:spacing w:line="360" w:lineRule="auto"/>
        <w:ind w:firstLine="480" w:firstLineChars="200"/>
        <w:rPr>
          <w:sz w:val="24"/>
          <w:szCs w:val="24"/>
        </w:rPr>
      </w:pPr>
      <w:r>
        <w:rPr>
          <w:rFonts w:hint="eastAsia"/>
          <w:sz w:val="24"/>
          <w:szCs w:val="24"/>
        </w:rPr>
        <w:t>2.1 综合管理部负责培训活动的统筹、规划和实施。</w:t>
      </w:r>
    </w:p>
    <w:p>
      <w:pPr>
        <w:spacing w:line="360" w:lineRule="auto"/>
        <w:ind w:firstLine="480" w:firstLineChars="200"/>
        <w:rPr>
          <w:sz w:val="24"/>
          <w:szCs w:val="24"/>
        </w:rPr>
      </w:pPr>
      <w:r>
        <w:rPr>
          <w:rFonts w:hint="eastAsia"/>
          <w:sz w:val="24"/>
          <w:szCs w:val="24"/>
        </w:rPr>
        <w:t>2.2 综合管理部负责制定年度培训计划和实施方案及预算，经由基金会秘书长审批同意后开展。</w:t>
      </w:r>
    </w:p>
    <w:p>
      <w:pPr>
        <w:spacing w:line="360" w:lineRule="auto"/>
        <w:ind w:firstLine="480" w:firstLineChars="200"/>
        <w:rPr>
          <w:sz w:val="24"/>
          <w:szCs w:val="24"/>
        </w:rPr>
      </w:pPr>
      <w:r>
        <w:rPr>
          <w:rFonts w:hint="eastAsia"/>
          <w:sz w:val="24"/>
          <w:szCs w:val="24"/>
        </w:rPr>
        <w:t>2.3 基金会其它各部门负责人应协助综合管理部门进行培训的实施、督促，同时在基金会整体培训计划下组织好本部门内部的培训。</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3．培训的形式与方法</w:t>
      </w:r>
    </w:p>
    <w:p>
      <w:pPr>
        <w:spacing w:line="360" w:lineRule="auto"/>
        <w:ind w:firstLine="480" w:firstLineChars="200"/>
        <w:rPr>
          <w:sz w:val="24"/>
          <w:szCs w:val="24"/>
        </w:rPr>
      </w:pPr>
      <w:r>
        <w:rPr>
          <w:rFonts w:hint="eastAsia"/>
          <w:sz w:val="24"/>
          <w:szCs w:val="24"/>
        </w:rPr>
        <w:t>3.1 本基金会的培训形式包括基金会内部培训、外派培训和员工自我培训。内部培训又分为员工职前培训、岗位技能培训。</w:t>
      </w:r>
    </w:p>
    <w:p>
      <w:pPr>
        <w:spacing w:line="360" w:lineRule="auto"/>
        <w:ind w:firstLine="480" w:firstLineChars="200"/>
        <w:rPr>
          <w:sz w:val="24"/>
          <w:szCs w:val="24"/>
        </w:rPr>
      </w:pPr>
      <w:r>
        <w:rPr>
          <w:rFonts w:hint="eastAsia"/>
          <w:sz w:val="24"/>
          <w:szCs w:val="24"/>
        </w:rPr>
        <w:t>3.2 入职培训：基金会新入职人员均应进行职前教育</w:t>
      </w:r>
      <w:r>
        <w:rPr>
          <w:rFonts w:hint="eastAsia"/>
          <w:sz w:val="24"/>
          <w:szCs w:val="24"/>
          <w:lang w:eastAsia="zh-CN"/>
        </w:rPr>
        <w:t>，</w:t>
      </w:r>
      <w:r>
        <w:rPr>
          <w:rFonts w:hint="eastAsia"/>
          <w:sz w:val="24"/>
          <w:szCs w:val="24"/>
        </w:rPr>
        <w:t xml:space="preserve"> 使新入职员工了解本基金会的组织文化、理念、发展历程、管理规范、业务范围等方面内容。入职培训由综合管理部组织，各部门负责人具体参与实施。</w:t>
      </w:r>
    </w:p>
    <w:p>
      <w:pPr>
        <w:spacing w:line="360" w:lineRule="auto"/>
        <w:ind w:firstLine="480" w:firstLineChars="200"/>
        <w:rPr>
          <w:sz w:val="24"/>
          <w:szCs w:val="24"/>
        </w:rPr>
      </w:pPr>
      <w:r>
        <w:rPr>
          <w:rFonts w:hint="eastAsia"/>
          <w:sz w:val="24"/>
          <w:szCs w:val="24"/>
        </w:rPr>
        <w:t>3.3 岗位技能培训：根据基金会的发展规划及各部门工作的需求，对员工进行岗位技能培训，并可视其实际情况合并举办。岗位技能培训由综合办公室协同其它各部门共同进行规划与执行。由各部门提出年度岗位技能培训计划，报综合管理部，由综合管理部根据需求统筹制定培训方案，呈报秘书长核准后，由综合办公室会同各部门共同安排实施。岗位技能培训不定期开展。基金会全体员工参加。</w:t>
      </w:r>
    </w:p>
    <w:p>
      <w:pPr>
        <w:spacing w:line="360" w:lineRule="auto"/>
        <w:ind w:firstLine="480" w:firstLineChars="200"/>
        <w:rPr>
          <w:sz w:val="24"/>
          <w:szCs w:val="24"/>
        </w:rPr>
      </w:pPr>
      <w:r>
        <w:rPr>
          <w:rFonts w:hint="eastAsia"/>
          <w:sz w:val="24"/>
          <w:szCs w:val="24"/>
        </w:rPr>
        <w:t>3.4 部门内部培训：部门培训由各部门根据实际工作需要，对员工进行小规模的、灵活实用的培训。同时各部门负责人应经常督导所属人员提高业务能力，充实其处理业务应具备的知识，必要时应指定所属人员限期阅读与专业有关的书籍。部门内部培训由各部门组织，定期向综合管理部通报培训情况。</w:t>
      </w:r>
    </w:p>
    <w:p>
      <w:pPr>
        <w:spacing w:line="360" w:lineRule="auto"/>
        <w:ind w:firstLine="480" w:firstLineChars="200"/>
        <w:rPr>
          <w:sz w:val="24"/>
          <w:szCs w:val="24"/>
        </w:rPr>
      </w:pPr>
      <w:r>
        <w:rPr>
          <w:rFonts w:hint="eastAsia"/>
          <w:sz w:val="24"/>
          <w:szCs w:val="24"/>
        </w:rPr>
        <w:t>3.5外派培训：培训地点在基金会以外，包括参加各类培训班、讲座、管理人员及专业业务人员外出考察等。</w:t>
      </w:r>
    </w:p>
    <w:p>
      <w:pPr>
        <w:spacing w:line="360" w:lineRule="auto"/>
        <w:ind w:firstLine="480" w:firstLineChars="200"/>
        <w:rPr>
          <w:sz w:val="24"/>
          <w:szCs w:val="24"/>
        </w:rPr>
      </w:pPr>
      <w:r>
        <w:rPr>
          <w:rFonts w:hint="eastAsia"/>
          <w:sz w:val="24"/>
          <w:szCs w:val="24"/>
        </w:rPr>
        <w:t>3.6个人出资培训：由员工个人参加的各类业余教育培训，均属个人出资培训。基金会鼓励员工在不影响本职工作的前提下，参加各种业余教育培训活动。员工因考试需占用工作时间，持准考证，经部门负责人批准办理请假手续。</w:t>
      </w:r>
    </w:p>
    <w:p>
      <w:pPr>
        <w:spacing w:line="360" w:lineRule="auto"/>
        <w:ind w:firstLine="480" w:firstLineChars="200"/>
        <w:rPr>
          <w:sz w:val="24"/>
          <w:szCs w:val="24"/>
        </w:rPr>
      </w:pPr>
      <w:r>
        <w:rPr>
          <w:rFonts w:hint="eastAsia"/>
          <w:sz w:val="24"/>
          <w:szCs w:val="24"/>
        </w:rPr>
        <w:t>3.7临时培训：各级管理人员可根据工作、业务需要随时设训，综合办公室予以组织和配合。</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 培训的开展</w:t>
      </w:r>
    </w:p>
    <w:p>
      <w:pPr>
        <w:spacing w:line="360" w:lineRule="auto"/>
        <w:ind w:firstLine="480" w:firstLineChars="200"/>
        <w:rPr>
          <w:sz w:val="24"/>
          <w:szCs w:val="24"/>
        </w:rPr>
      </w:pPr>
      <w:r>
        <w:rPr>
          <w:rFonts w:hint="eastAsia"/>
          <w:sz w:val="24"/>
          <w:szCs w:val="24"/>
        </w:rPr>
        <w:t>4.1 员工个人希望与需要参加的培训，需向主管领导提出申请，填写《培训申请表》，获得批准后方可参加。</w:t>
      </w:r>
    </w:p>
    <w:p>
      <w:pPr>
        <w:spacing w:line="360" w:lineRule="auto"/>
        <w:ind w:firstLine="480" w:firstLineChars="200"/>
        <w:rPr>
          <w:sz w:val="24"/>
          <w:szCs w:val="24"/>
        </w:rPr>
      </w:pPr>
      <w:r>
        <w:rPr>
          <w:rFonts w:hint="eastAsia"/>
          <w:sz w:val="24"/>
          <w:szCs w:val="24"/>
        </w:rPr>
        <w:t>4.2 每个员工每年可以申请参与至少2次集中培训，每次培训时间在2天及以上。</w:t>
      </w:r>
    </w:p>
    <w:p>
      <w:pPr>
        <w:spacing w:line="360" w:lineRule="auto"/>
        <w:ind w:firstLine="480" w:firstLineChars="200"/>
        <w:rPr>
          <w:sz w:val="24"/>
          <w:szCs w:val="24"/>
        </w:rPr>
      </w:pPr>
      <w:r>
        <w:rPr>
          <w:rFonts w:hint="eastAsia"/>
          <w:sz w:val="24"/>
          <w:szCs w:val="24"/>
        </w:rPr>
        <w:t>4.3 基金会为可以员工参加培训提供经费补贴，每人每年不超过4000元。</w:t>
      </w:r>
    </w:p>
    <w:p>
      <w:pPr>
        <w:spacing w:line="360" w:lineRule="auto"/>
        <w:ind w:firstLine="480" w:firstLineChars="200"/>
        <w:rPr>
          <w:sz w:val="24"/>
          <w:szCs w:val="24"/>
        </w:rPr>
      </w:pPr>
      <w:r>
        <w:rPr>
          <w:rFonts w:hint="eastAsia"/>
          <w:sz w:val="24"/>
          <w:szCs w:val="24"/>
        </w:rPr>
        <w:t>4.4 员工每次参加完培训之后，都需完成一份《培训总结》，并跟基金会同事分享培训收获与感悟。同时，需制定培训收获落实计划，并切实行动，以将培训收获应用于个人成长与工作之中。</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5．培训要求</w:t>
      </w:r>
    </w:p>
    <w:p>
      <w:pPr>
        <w:spacing w:line="360" w:lineRule="auto"/>
        <w:ind w:firstLine="480" w:firstLineChars="200"/>
        <w:rPr>
          <w:sz w:val="24"/>
          <w:szCs w:val="24"/>
        </w:rPr>
      </w:pPr>
      <w:r>
        <w:rPr>
          <w:rFonts w:hint="eastAsia"/>
          <w:sz w:val="24"/>
          <w:szCs w:val="24"/>
        </w:rPr>
        <w:t>5.1培训过程前、中、后所有记录和数据由综合管理部统一收集、整理、存档。</w:t>
      </w:r>
    </w:p>
    <w:p>
      <w:pPr>
        <w:spacing w:line="360" w:lineRule="auto"/>
        <w:ind w:firstLine="480" w:firstLineChars="200"/>
        <w:rPr>
          <w:sz w:val="24"/>
          <w:szCs w:val="24"/>
        </w:rPr>
      </w:pPr>
      <w:r>
        <w:rPr>
          <w:rFonts w:hint="eastAsia"/>
          <w:sz w:val="24"/>
          <w:szCs w:val="24"/>
        </w:rPr>
        <w:t>5.2基金会投入的培训费用应严格按照培训计划实施，杜绝浪费现象。</w:t>
      </w:r>
    </w:p>
    <w:p>
      <w:pPr>
        <w:spacing w:line="360" w:lineRule="auto"/>
        <w:ind w:firstLine="480" w:firstLineChars="200"/>
        <w:rPr>
          <w:sz w:val="24"/>
          <w:szCs w:val="24"/>
        </w:rPr>
      </w:pPr>
      <w:r>
        <w:rPr>
          <w:rFonts w:hint="eastAsia"/>
          <w:sz w:val="24"/>
          <w:szCs w:val="24"/>
        </w:rPr>
        <w:t>5.3凡受训人员在接获培训通知时，应在指定时间内向组织单位报到，特殊情况不能参训，应经基金会领导批准。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6. 附则</w:t>
      </w:r>
    </w:p>
    <w:p>
      <w:pPr>
        <w:spacing w:line="360" w:lineRule="auto"/>
        <w:ind w:firstLine="480" w:firstLineChars="200"/>
        <w:rPr>
          <w:sz w:val="24"/>
          <w:szCs w:val="24"/>
        </w:rPr>
      </w:pPr>
      <w:r>
        <w:rPr>
          <w:rFonts w:hint="eastAsia"/>
          <w:sz w:val="24"/>
          <w:szCs w:val="24"/>
        </w:rPr>
        <w:t>6.1本制度由</w:t>
      </w:r>
      <w:r>
        <w:rPr>
          <w:rFonts w:hint="eastAsia"/>
          <w:sz w:val="24"/>
          <w:szCs w:val="24"/>
          <w:lang w:eastAsia="zh-CN"/>
        </w:rPr>
        <w:t>北京天地文化发展</w:t>
      </w:r>
      <w:r>
        <w:rPr>
          <w:rFonts w:hint="eastAsia"/>
          <w:sz w:val="24"/>
          <w:szCs w:val="24"/>
        </w:rPr>
        <w:t>基金会负责解释。</w:t>
      </w:r>
    </w:p>
    <w:p>
      <w:pPr>
        <w:spacing w:line="360" w:lineRule="auto"/>
        <w:ind w:firstLine="480" w:firstLineChars="200"/>
        <w:rPr>
          <w:sz w:val="24"/>
          <w:szCs w:val="24"/>
        </w:rPr>
      </w:pPr>
    </w:p>
    <w:p>
      <w:pPr>
        <w:spacing w:line="360" w:lineRule="auto"/>
        <w:rPr>
          <w:sz w:val="24"/>
          <w:szCs w:val="24"/>
        </w:rPr>
      </w:pPr>
    </w:p>
    <w:p>
      <w:pPr>
        <w:spacing w:before="156" w:beforeLines="50" w:after="156" w:afterLines="50" w:line="360" w:lineRule="auto"/>
        <w:jc w:val="center"/>
        <w:outlineLvl w:val="1"/>
        <w:rPr>
          <w:rFonts w:ascii="黑体" w:hAnsi="黑体" w:eastAsia="黑体"/>
          <w:b/>
          <w:sz w:val="32"/>
          <w:szCs w:val="32"/>
        </w:rPr>
      </w:pPr>
      <w:bookmarkStart w:id="36" w:name="_Toc403829192"/>
      <w:bookmarkStart w:id="37" w:name="_Toc20632"/>
      <w:r>
        <w:rPr>
          <w:rFonts w:hint="eastAsia" w:ascii="黑体" w:hAnsi="黑体" w:eastAsia="黑体"/>
          <w:b/>
          <w:sz w:val="32"/>
          <w:szCs w:val="32"/>
          <w:lang w:val="en-US" w:eastAsia="zh-CN"/>
        </w:rPr>
        <w:t>二</w:t>
      </w:r>
      <w:r>
        <w:rPr>
          <w:rFonts w:hint="eastAsia" w:ascii="黑体" w:hAnsi="黑体" w:eastAsia="黑体"/>
          <w:b/>
          <w:sz w:val="32"/>
          <w:szCs w:val="32"/>
        </w:rPr>
        <w:t xml:space="preserve">十 </w:t>
      </w:r>
      <w:r>
        <w:rPr>
          <w:rFonts w:hint="eastAsia" w:ascii="黑体" w:hAnsi="黑体" w:eastAsia="黑体"/>
          <w:b/>
          <w:sz w:val="32"/>
          <w:szCs w:val="32"/>
          <w:lang w:eastAsia="zh-CN"/>
        </w:rPr>
        <w:t>北京天地文化发展</w:t>
      </w:r>
      <w:r>
        <w:rPr>
          <w:rFonts w:hint="eastAsia" w:ascii="黑体" w:hAnsi="黑体" w:eastAsia="黑体"/>
          <w:b/>
          <w:sz w:val="32"/>
          <w:szCs w:val="32"/>
        </w:rPr>
        <w:t>基金会招聘管理制度</w:t>
      </w:r>
      <w:bookmarkEnd w:id="36"/>
      <w:bookmarkEnd w:id="37"/>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1．适用范围</w:t>
      </w:r>
    </w:p>
    <w:p>
      <w:pPr>
        <w:spacing w:line="360" w:lineRule="auto"/>
        <w:ind w:firstLine="480" w:firstLineChars="200"/>
        <w:rPr>
          <w:sz w:val="24"/>
          <w:szCs w:val="24"/>
        </w:rPr>
      </w:pPr>
      <w:r>
        <w:rPr>
          <w:rFonts w:hint="eastAsia"/>
          <w:sz w:val="24"/>
          <w:szCs w:val="24"/>
        </w:rPr>
        <w:t>1.1本制度适用于</w:t>
      </w:r>
      <w:r>
        <w:rPr>
          <w:rFonts w:hint="eastAsia"/>
          <w:sz w:val="24"/>
          <w:szCs w:val="24"/>
          <w:lang w:eastAsia="zh-CN"/>
        </w:rPr>
        <w:t>北京天地文化发展</w:t>
      </w:r>
      <w:r>
        <w:rPr>
          <w:rFonts w:hint="eastAsia"/>
          <w:sz w:val="24"/>
          <w:szCs w:val="24"/>
        </w:rPr>
        <w:t>基金会（以下简称“本基金会”）所有岗位的招聘工作。</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2．目的</w:t>
      </w:r>
    </w:p>
    <w:p>
      <w:pPr>
        <w:spacing w:line="360" w:lineRule="auto"/>
        <w:ind w:firstLine="480" w:firstLineChars="200"/>
        <w:rPr>
          <w:sz w:val="24"/>
          <w:szCs w:val="24"/>
        </w:rPr>
      </w:pPr>
      <w:r>
        <w:rPr>
          <w:rFonts w:hint="eastAsia"/>
          <w:sz w:val="24"/>
          <w:szCs w:val="24"/>
        </w:rPr>
        <w:t>2.1为了满足本基金会持续发展的需要，规范人员招聘流程，健全人才选用机制，特制定本制度。</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3．职责</w:t>
      </w:r>
    </w:p>
    <w:p>
      <w:pPr>
        <w:spacing w:line="360" w:lineRule="auto"/>
        <w:ind w:firstLine="480" w:firstLineChars="200"/>
        <w:rPr>
          <w:sz w:val="24"/>
          <w:szCs w:val="24"/>
        </w:rPr>
      </w:pPr>
      <w:r>
        <w:rPr>
          <w:rFonts w:hint="eastAsia"/>
          <w:sz w:val="24"/>
          <w:szCs w:val="24"/>
        </w:rPr>
        <w:t>3.1综合管理部门</w:t>
      </w:r>
    </w:p>
    <w:p>
      <w:pPr>
        <w:spacing w:line="360" w:lineRule="auto"/>
        <w:ind w:firstLine="480" w:firstLineChars="200"/>
        <w:rPr>
          <w:sz w:val="24"/>
          <w:szCs w:val="24"/>
        </w:rPr>
      </w:pPr>
      <w:r>
        <w:rPr>
          <w:rFonts w:hint="eastAsia"/>
          <w:sz w:val="24"/>
          <w:szCs w:val="24"/>
        </w:rPr>
        <w:t>3.1.1根据各部门的用人需求，编制人力资源需求计划汇总表；</w:t>
      </w:r>
    </w:p>
    <w:p>
      <w:pPr>
        <w:spacing w:line="360" w:lineRule="auto"/>
        <w:ind w:firstLine="480" w:firstLineChars="200"/>
        <w:rPr>
          <w:sz w:val="24"/>
          <w:szCs w:val="24"/>
        </w:rPr>
      </w:pPr>
      <w:r>
        <w:rPr>
          <w:rFonts w:hint="eastAsia"/>
          <w:sz w:val="24"/>
          <w:szCs w:val="24"/>
        </w:rPr>
        <w:t>3.1.2招聘全过程的组织实施（发布信息、收集、筛选、组织面试等）；</w:t>
      </w:r>
    </w:p>
    <w:p>
      <w:pPr>
        <w:spacing w:line="360" w:lineRule="auto"/>
        <w:ind w:firstLine="480" w:firstLineChars="200"/>
        <w:rPr>
          <w:sz w:val="24"/>
          <w:szCs w:val="24"/>
        </w:rPr>
      </w:pPr>
      <w:r>
        <w:rPr>
          <w:rFonts w:hint="eastAsia"/>
          <w:sz w:val="24"/>
          <w:szCs w:val="24"/>
        </w:rPr>
        <w:t>3.1.3办理录用手续；</w:t>
      </w:r>
    </w:p>
    <w:p>
      <w:pPr>
        <w:spacing w:line="360" w:lineRule="auto"/>
        <w:ind w:firstLine="480" w:firstLineChars="200"/>
        <w:rPr>
          <w:sz w:val="24"/>
          <w:szCs w:val="24"/>
        </w:rPr>
      </w:pPr>
      <w:r>
        <w:rPr>
          <w:rFonts w:hint="eastAsia"/>
          <w:sz w:val="24"/>
          <w:szCs w:val="24"/>
        </w:rPr>
        <w:t>3.2用人部门</w:t>
      </w:r>
    </w:p>
    <w:p>
      <w:pPr>
        <w:spacing w:line="360" w:lineRule="auto"/>
        <w:ind w:firstLine="480" w:firstLineChars="200"/>
        <w:rPr>
          <w:sz w:val="24"/>
          <w:szCs w:val="24"/>
        </w:rPr>
      </w:pPr>
      <w:r>
        <w:rPr>
          <w:rFonts w:hint="eastAsia"/>
          <w:sz w:val="24"/>
          <w:szCs w:val="24"/>
        </w:rPr>
        <w:t>3.2.1提交部门人力资源需求；</w:t>
      </w:r>
    </w:p>
    <w:p>
      <w:pPr>
        <w:spacing w:line="360" w:lineRule="auto"/>
        <w:ind w:firstLine="480" w:firstLineChars="200"/>
        <w:rPr>
          <w:sz w:val="24"/>
          <w:szCs w:val="24"/>
        </w:rPr>
      </w:pPr>
      <w:r>
        <w:rPr>
          <w:rFonts w:hint="eastAsia"/>
          <w:sz w:val="24"/>
          <w:szCs w:val="24"/>
        </w:rPr>
        <w:t>3.2.2部门主管对应聘人员进行专业的面试；</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4．招聘程序</w:t>
      </w:r>
    </w:p>
    <w:p>
      <w:pPr>
        <w:spacing w:line="360" w:lineRule="auto"/>
        <w:ind w:firstLine="480" w:firstLineChars="200"/>
        <w:rPr>
          <w:sz w:val="24"/>
          <w:szCs w:val="24"/>
        </w:rPr>
      </w:pPr>
      <w:r>
        <w:rPr>
          <w:rFonts w:hint="eastAsia"/>
          <w:sz w:val="24"/>
          <w:szCs w:val="24"/>
        </w:rPr>
        <w:t>4.1招聘原则：</w:t>
      </w:r>
    </w:p>
    <w:p>
      <w:pPr>
        <w:spacing w:line="360" w:lineRule="auto"/>
        <w:ind w:firstLine="480" w:firstLineChars="200"/>
        <w:rPr>
          <w:sz w:val="24"/>
          <w:szCs w:val="24"/>
        </w:rPr>
      </w:pPr>
      <w:r>
        <w:rPr>
          <w:rFonts w:hint="eastAsia"/>
          <w:sz w:val="24"/>
          <w:szCs w:val="24"/>
        </w:rPr>
        <w:t>4.1.1本基金会所需员工，一律公开条件，在本基金会内部甄选或对社会招聘；</w:t>
      </w:r>
    </w:p>
    <w:p>
      <w:pPr>
        <w:spacing w:line="360" w:lineRule="auto"/>
        <w:ind w:firstLine="480" w:firstLineChars="200"/>
        <w:rPr>
          <w:sz w:val="24"/>
          <w:szCs w:val="24"/>
        </w:rPr>
      </w:pPr>
      <w:r>
        <w:rPr>
          <w:rFonts w:hint="eastAsia"/>
          <w:sz w:val="24"/>
          <w:szCs w:val="24"/>
        </w:rPr>
        <w:t>4.1.2本基金会聘用各级员工以公开招聘、平等竞争、严格考核、择优录取为原则；注重员工的学识、品德、能力、经验，但特殊需要时不在此限。</w:t>
      </w:r>
    </w:p>
    <w:p>
      <w:pPr>
        <w:spacing w:line="360" w:lineRule="auto"/>
        <w:ind w:firstLine="480" w:firstLineChars="200"/>
        <w:rPr>
          <w:sz w:val="24"/>
          <w:szCs w:val="24"/>
        </w:rPr>
      </w:pPr>
      <w:r>
        <w:rPr>
          <w:rFonts w:hint="eastAsia"/>
          <w:sz w:val="24"/>
          <w:szCs w:val="24"/>
        </w:rPr>
        <w:t>4.2招聘申请</w:t>
      </w:r>
    </w:p>
    <w:p>
      <w:pPr>
        <w:spacing w:line="360" w:lineRule="auto"/>
        <w:ind w:firstLine="480" w:firstLineChars="200"/>
        <w:rPr>
          <w:sz w:val="24"/>
          <w:szCs w:val="24"/>
        </w:rPr>
      </w:pPr>
      <w:r>
        <w:rPr>
          <w:rFonts w:hint="eastAsia"/>
          <w:sz w:val="24"/>
          <w:szCs w:val="24"/>
        </w:rPr>
        <w:t>4.2.1招聘申请审批：用人部门根据部门工作需要及确定的招聘计划，提交《基金会用人申请》，经部门负责人和基金会秘书长审核后，交综合管理部。</w:t>
      </w:r>
    </w:p>
    <w:p>
      <w:pPr>
        <w:spacing w:line="360" w:lineRule="auto"/>
        <w:ind w:firstLine="480" w:firstLineChars="200"/>
        <w:rPr>
          <w:sz w:val="24"/>
          <w:szCs w:val="24"/>
        </w:rPr>
      </w:pPr>
      <w:r>
        <w:rPr>
          <w:rFonts w:hint="eastAsia"/>
          <w:sz w:val="24"/>
          <w:szCs w:val="24"/>
        </w:rPr>
        <w:t>4.2.2发布招聘信息</w:t>
      </w:r>
    </w:p>
    <w:p>
      <w:pPr>
        <w:spacing w:line="360" w:lineRule="auto"/>
        <w:ind w:firstLine="480" w:firstLineChars="200"/>
        <w:rPr>
          <w:sz w:val="24"/>
          <w:szCs w:val="24"/>
        </w:rPr>
      </w:pPr>
      <w:r>
        <w:rPr>
          <w:rFonts w:hint="eastAsia"/>
          <w:sz w:val="24"/>
          <w:szCs w:val="24"/>
        </w:rPr>
        <w:t>4.2.2.1综合管理部根据招聘岗位特点选择适合的招聘渠道，在距离到岗时间至少2个月之前发布招聘广告；</w:t>
      </w:r>
    </w:p>
    <w:p>
      <w:pPr>
        <w:spacing w:line="360" w:lineRule="auto"/>
        <w:ind w:firstLine="480" w:firstLineChars="200"/>
        <w:rPr>
          <w:sz w:val="24"/>
          <w:szCs w:val="24"/>
        </w:rPr>
      </w:pPr>
      <w:r>
        <w:rPr>
          <w:rFonts w:hint="eastAsia"/>
          <w:sz w:val="24"/>
          <w:szCs w:val="24"/>
        </w:rPr>
        <w:t>4.2.2.2发布招聘信息应包括：基金会简介、岗位名称、你招聘人员数量、岗位职责描述、任职资格、截止日期、联系方式等内容。</w:t>
      </w:r>
    </w:p>
    <w:p>
      <w:pPr>
        <w:spacing w:line="360" w:lineRule="auto"/>
        <w:ind w:firstLine="480" w:firstLineChars="200"/>
        <w:rPr>
          <w:sz w:val="24"/>
          <w:szCs w:val="24"/>
        </w:rPr>
      </w:pPr>
      <w:r>
        <w:rPr>
          <w:rFonts w:hint="eastAsia"/>
          <w:sz w:val="24"/>
          <w:szCs w:val="24"/>
        </w:rPr>
        <w:t>4.2.3 初步筛选</w:t>
      </w:r>
    </w:p>
    <w:p>
      <w:pPr>
        <w:spacing w:line="360" w:lineRule="auto"/>
        <w:ind w:firstLine="480" w:firstLineChars="200"/>
        <w:rPr>
          <w:sz w:val="24"/>
          <w:szCs w:val="24"/>
        </w:rPr>
      </w:pPr>
      <w:r>
        <w:rPr>
          <w:rFonts w:hint="eastAsia"/>
          <w:sz w:val="24"/>
          <w:szCs w:val="24"/>
        </w:rPr>
        <w:t>4.2.3.1综合管理部根据招聘岗位的要求进行简历初选，审查重点为求职者的认知资格和相关工作经历，并将简历递交部门负责人进行查看；</w:t>
      </w:r>
    </w:p>
    <w:p>
      <w:pPr>
        <w:spacing w:line="360" w:lineRule="auto"/>
        <w:ind w:firstLine="480" w:firstLineChars="200"/>
        <w:rPr>
          <w:sz w:val="24"/>
          <w:szCs w:val="24"/>
        </w:rPr>
      </w:pPr>
      <w:r>
        <w:rPr>
          <w:rFonts w:hint="eastAsia"/>
          <w:sz w:val="24"/>
          <w:szCs w:val="24"/>
        </w:rPr>
        <w:t>4.2.3.2部门负责人通过的简历，综合管理部可安排初试人员通知。</w:t>
      </w:r>
    </w:p>
    <w:p>
      <w:pPr>
        <w:spacing w:line="360" w:lineRule="auto"/>
        <w:ind w:firstLine="480" w:firstLineChars="200"/>
        <w:rPr>
          <w:sz w:val="24"/>
          <w:szCs w:val="24"/>
        </w:rPr>
      </w:pPr>
      <w:r>
        <w:rPr>
          <w:rFonts w:hint="eastAsia"/>
          <w:sz w:val="24"/>
          <w:szCs w:val="24"/>
        </w:rPr>
        <w:t>4.2.4初步面试</w:t>
      </w:r>
    </w:p>
    <w:p>
      <w:pPr>
        <w:spacing w:line="360" w:lineRule="auto"/>
        <w:ind w:firstLine="480" w:firstLineChars="200"/>
        <w:rPr>
          <w:sz w:val="24"/>
          <w:szCs w:val="24"/>
        </w:rPr>
      </w:pPr>
      <w:r>
        <w:rPr>
          <w:rFonts w:hint="eastAsia"/>
          <w:sz w:val="24"/>
          <w:szCs w:val="24"/>
        </w:rPr>
        <w:t>4.2.4.1初试由部门负责人主持，主试人员应首先了解求职者基本信息、求职动机、薪酬要求等情况之后，填写《面试评价表》；</w:t>
      </w:r>
    </w:p>
    <w:p>
      <w:pPr>
        <w:spacing w:line="360" w:lineRule="auto"/>
        <w:ind w:firstLine="480" w:firstLineChars="200"/>
        <w:rPr>
          <w:sz w:val="24"/>
          <w:szCs w:val="24"/>
        </w:rPr>
      </w:pPr>
      <w:r>
        <w:rPr>
          <w:rFonts w:hint="eastAsia"/>
          <w:sz w:val="24"/>
          <w:szCs w:val="24"/>
        </w:rPr>
        <w:t>4.2.4.2主试人员根据岗位需求进行进一步的了解；</w:t>
      </w:r>
    </w:p>
    <w:p>
      <w:pPr>
        <w:spacing w:line="360" w:lineRule="auto"/>
        <w:ind w:firstLine="480" w:firstLineChars="200"/>
        <w:rPr>
          <w:sz w:val="24"/>
          <w:szCs w:val="24"/>
        </w:rPr>
      </w:pPr>
      <w:r>
        <w:rPr>
          <w:rFonts w:hint="eastAsia"/>
          <w:sz w:val="24"/>
          <w:szCs w:val="24"/>
        </w:rPr>
        <w:t>4.2.4.3初试结束后，主试人员根据面试者情况，填写《面试评分表》。</w:t>
      </w:r>
    </w:p>
    <w:p>
      <w:pPr>
        <w:spacing w:line="360" w:lineRule="auto"/>
        <w:ind w:firstLine="480" w:firstLineChars="200"/>
        <w:rPr>
          <w:sz w:val="24"/>
          <w:szCs w:val="24"/>
        </w:rPr>
      </w:pPr>
      <w:r>
        <w:rPr>
          <w:rFonts w:hint="eastAsia"/>
          <w:sz w:val="24"/>
          <w:szCs w:val="24"/>
        </w:rPr>
        <w:t>4.2.5复试</w:t>
      </w:r>
    </w:p>
    <w:p>
      <w:pPr>
        <w:spacing w:line="360" w:lineRule="auto"/>
        <w:ind w:firstLine="480" w:firstLineChars="200"/>
        <w:rPr>
          <w:sz w:val="24"/>
          <w:szCs w:val="24"/>
        </w:rPr>
      </w:pPr>
      <w:r>
        <w:rPr>
          <w:rFonts w:hint="eastAsia"/>
          <w:sz w:val="24"/>
          <w:szCs w:val="24"/>
        </w:rPr>
        <w:t>4.2.5.1部门负责人在进行初试后，对应聘者进行面试打分，提供备选人员进行复试；</w:t>
      </w:r>
    </w:p>
    <w:p>
      <w:pPr>
        <w:spacing w:line="360" w:lineRule="auto"/>
        <w:ind w:firstLine="480" w:firstLineChars="200"/>
        <w:rPr>
          <w:sz w:val="24"/>
          <w:szCs w:val="24"/>
        </w:rPr>
      </w:pPr>
      <w:r>
        <w:rPr>
          <w:rFonts w:hint="eastAsia"/>
          <w:sz w:val="24"/>
          <w:szCs w:val="24"/>
        </w:rPr>
        <w:t>4.2.5.2复试由基金会相关领导进行，对参加复试人员的能力、品德、综合素质、工作经验等进行进一步考察和了解。</w:t>
      </w:r>
    </w:p>
    <w:p>
      <w:pPr>
        <w:spacing w:line="360" w:lineRule="auto"/>
        <w:ind w:firstLine="480" w:firstLineChars="200"/>
        <w:rPr>
          <w:sz w:val="24"/>
          <w:szCs w:val="24"/>
        </w:rPr>
      </w:pPr>
      <w:r>
        <w:rPr>
          <w:rFonts w:hint="eastAsia"/>
          <w:sz w:val="24"/>
          <w:szCs w:val="24"/>
        </w:rPr>
        <w:t>4.2.6 背景调查。为核实应聘者的个人资料，对应聘者有准确的评价，面试结束后可由综合管理部对应聘者进行背景调查。</w:t>
      </w:r>
    </w:p>
    <w:p>
      <w:pPr>
        <w:spacing w:line="360" w:lineRule="auto"/>
        <w:ind w:firstLine="480" w:firstLineChars="200"/>
        <w:rPr>
          <w:sz w:val="24"/>
          <w:szCs w:val="24"/>
        </w:rPr>
      </w:pPr>
      <w:r>
        <w:rPr>
          <w:rFonts w:hint="eastAsia"/>
          <w:sz w:val="24"/>
          <w:szCs w:val="24"/>
        </w:rPr>
        <w:t>4.2.7录用审批</w:t>
      </w:r>
    </w:p>
    <w:p>
      <w:pPr>
        <w:spacing w:line="360" w:lineRule="auto"/>
        <w:ind w:firstLine="480" w:firstLineChars="200"/>
        <w:rPr>
          <w:sz w:val="24"/>
          <w:szCs w:val="24"/>
        </w:rPr>
      </w:pPr>
      <w:r>
        <w:rPr>
          <w:rFonts w:hint="eastAsia"/>
          <w:sz w:val="24"/>
          <w:szCs w:val="24"/>
        </w:rPr>
        <w:t>4.2.7.1对通过基金会面试的应聘者，由综合管理部整理《面试评分表》，提交给基金会秘书长审批；</w:t>
      </w:r>
    </w:p>
    <w:p>
      <w:pPr>
        <w:spacing w:line="360" w:lineRule="auto"/>
        <w:ind w:firstLine="480" w:firstLineChars="200"/>
        <w:rPr>
          <w:sz w:val="24"/>
          <w:szCs w:val="24"/>
        </w:rPr>
      </w:pPr>
      <w:r>
        <w:rPr>
          <w:rFonts w:hint="eastAsia"/>
          <w:sz w:val="24"/>
          <w:szCs w:val="24"/>
        </w:rPr>
        <w:t>4.2.7.2审批完成后，由综合管理部向用人部门和拟录用人员发送《录用通知书》。</w:t>
      </w:r>
    </w:p>
    <w:p>
      <w:pPr>
        <w:spacing w:line="360" w:lineRule="auto"/>
        <w:ind w:firstLine="480" w:firstLineChars="200"/>
        <w:rPr>
          <w:sz w:val="24"/>
          <w:szCs w:val="24"/>
        </w:rPr>
      </w:pPr>
      <w:r>
        <w:rPr>
          <w:rFonts w:hint="eastAsia"/>
          <w:sz w:val="24"/>
          <w:szCs w:val="24"/>
        </w:rPr>
        <w:t>4.2.7.3 确认录用人员需进行一次入职体检，体检项目由基金会确认、费用由基金会承担。检查结果正常者方能被正式录用、开始办理入职程序。</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5．其他事项</w:t>
      </w:r>
    </w:p>
    <w:p>
      <w:pPr>
        <w:spacing w:line="360" w:lineRule="auto"/>
        <w:ind w:firstLine="480" w:firstLineChars="200"/>
        <w:rPr>
          <w:sz w:val="24"/>
          <w:szCs w:val="24"/>
        </w:rPr>
      </w:pPr>
      <w:r>
        <w:rPr>
          <w:rFonts w:hint="eastAsia"/>
          <w:sz w:val="24"/>
          <w:szCs w:val="24"/>
        </w:rPr>
        <w:t>5.1对未被录用的求职者资料，如基金会其他职位潜在录用的可能，综合管理部应统一将其信息保存在基金会简历库中，并妥善保存期应聘材料，记录其未被录用的原因，以备后用。</w:t>
      </w:r>
    </w:p>
    <w:p>
      <w:pPr>
        <w:spacing w:line="360" w:lineRule="auto"/>
        <w:ind w:firstLine="480" w:firstLineChars="200"/>
        <w:rPr>
          <w:sz w:val="24"/>
          <w:szCs w:val="24"/>
        </w:rPr>
      </w:pPr>
      <w:r>
        <w:rPr>
          <w:rFonts w:hint="eastAsia"/>
          <w:sz w:val="24"/>
          <w:szCs w:val="24"/>
        </w:rPr>
        <w:t>5.2对于所有参加基金会初试、复试的求职者，无论最终录用与否，综合管理部都应以适当形式给予回复。</w:t>
      </w:r>
    </w:p>
    <w:p>
      <w:pPr>
        <w:spacing w:line="360" w:lineRule="auto"/>
        <w:ind w:firstLine="480" w:firstLineChars="200"/>
        <w:rPr>
          <w:sz w:val="24"/>
          <w:szCs w:val="24"/>
        </w:rPr>
      </w:pPr>
      <w:r>
        <w:rPr>
          <w:rFonts w:hint="eastAsia"/>
          <w:sz w:val="24"/>
          <w:szCs w:val="24"/>
        </w:rPr>
        <w:t>5.3招聘改进：招聘工作结束后，综合管理部应调查新员工及用人部门对招聘组织工作的意见，作为招聘工作进一步改进的依据。</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6．附则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p>
    <w:p>
      <w:pPr>
        <w:spacing w:line="360" w:lineRule="auto"/>
        <w:rPr>
          <w:sz w:val="24"/>
          <w:szCs w:val="24"/>
        </w:rPr>
      </w:pPr>
    </w:p>
    <w:p>
      <w:pPr>
        <w:spacing w:line="360" w:lineRule="auto"/>
        <w:rPr>
          <w:sz w:val="24"/>
          <w:szCs w:val="24"/>
        </w:rPr>
      </w:pPr>
    </w:p>
    <w:p>
      <w:pPr>
        <w:spacing w:line="360" w:lineRule="auto"/>
        <w:rPr>
          <w:sz w:val="24"/>
          <w:szCs w:val="24"/>
        </w:rPr>
      </w:pPr>
    </w:p>
    <w:p>
      <w:pPr>
        <w:spacing w:before="156" w:beforeLines="50" w:after="156" w:afterLines="50" w:line="360" w:lineRule="auto"/>
        <w:jc w:val="center"/>
        <w:outlineLvl w:val="1"/>
        <w:rPr>
          <w:rFonts w:ascii="黑体" w:hAnsi="黑体" w:eastAsia="黑体"/>
          <w:b/>
          <w:sz w:val="32"/>
          <w:szCs w:val="32"/>
        </w:rPr>
      </w:pPr>
      <w:bookmarkStart w:id="38" w:name="_Toc3573"/>
      <w:bookmarkStart w:id="39" w:name="_Toc403829193"/>
      <w:r>
        <w:rPr>
          <w:rFonts w:hint="eastAsia" w:ascii="黑体" w:hAnsi="黑体" w:eastAsia="黑体"/>
          <w:b/>
          <w:sz w:val="32"/>
          <w:szCs w:val="32"/>
        </w:rPr>
        <w:t>二十</w:t>
      </w:r>
      <w:r>
        <w:rPr>
          <w:rFonts w:hint="eastAsia" w:ascii="黑体" w:hAnsi="黑体" w:eastAsia="黑体"/>
          <w:b/>
          <w:sz w:val="32"/>
          <w:szCs w:val="32"/>
          <w:lang w:val="en-US" w:eastAsia="zh-CN"/>
        </w:rPr>
        <w:t>一</w:t>
      </w:r>
      <w:r>
        <w:rPr>
          <w:rFonts w:hint="eastAsia" w:ascii="黑体" w:hAnsi="黑体" w:eastAsia="黑体"/>
          <w:b/>
          <w:sz w:val="32"/>
          <w:szCs w:val="32"/>
        </w:rPr>
        <w:t xml:space="preserve"> </w:t>
      </w:r>
      <w:r>
        <w:rPr>
          <w:rFonts w:hint="eastAsia" w:ascii="黑体" w:hAnsi="黑体" w:eastAsia="黑体"/>
          <w:b/>
          <w:sz w:val="32"/>
          <w:szCs w:val="32"/>
          <w:lang w:eastAsia="zh-CN"/>
        </w:rPr>
        <w:t>北京天地文化发展</w:t>
      </w:r>
      <w:r>
        <w:rPr>
          <w:rFonts w:hint="eastAsia" w:ascii="黑体" w:hAnsi="黑体" w:eastAsia="黑体"/>
          <w:b/>
          <w:sz w:val="32"/>
          <w:szCs w:val="32"/>
        </w:rPr>
        <w:t>基金会工作奖惩制度</w:t>
      </w:r>
      <w:bookmarkEnd w:id="38"/>
      <w:bookmarkEnd w:id="39"/>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w:t>
      </w:r>
      <w:r>
        <w:rPr>
          <w:rFonts w:hint="eastAsia"/>
          <w:sz w:val="24"/>
          <w:szCs w:val="24"/>
          <w:lang w:eastAsia="zh-CN"/>
        </w:rPr>
        <w:t>北京天地文化发展</w:t>
      </w:r>
      <w:r>
        <w:rPr>
          <w:rFonts w:hint="eastAsia"/>
          <w:sz w:val="24"/>
          <w:szCs w:val="24"/>
        </w:rPr>
        <w:t>基金会（以下简称“本基金会”）为严明纪律，奖惩分明，提高员工工作积极性，提高工作效率，特制订本制度。</w:t>
      </w:r>
    </w:p>
    <w:p>
      <w:pPr>
        <w:spacing w:line="360" w:lineRule="auto"/>
        <w:ind w:firstLine="480" w:firstLineChars="200"/>
        <w:rPr>
          <w:sz w:val="24"/>
          <w:szCs w:val="24"/>
        </w:rPr>
      </w:pPr>
      <w:r>
        <w:rPr>
          <w:rFonts w:hint="eastAsia"/>
          <w:sz w:val="24"/>
          <w:szCs w:val="24"/>
        </w:rPr>
        <w:t>1.2本制度适用范围为本基金会全体员工。</w:t>
      </w:r>
    </w:p>
    <w:p>
      <w:pPr>
        <w:spacing w:line="360" w:lineRule="auto"/>
        <w:ind w:firstLine="480" w:firstLineChars="200"/>
        <w:rPr>
          <w:sz w:val="24"/>
          <w:szCs w:val="24"/>
        </w:rPr>
      </w:pPr>
      <w:r>
        <w:rPr>
          <w:rFonts w:hint="eastAsia"/>
          <w:sz w:val="24"/>
          <w:szCs w:val="24"/>
        </w:rPr>
        <w:t>1.3本基金会对员工的奖惩实行精神鼓励和思想教育为主、经济奖惩为辅的原则。</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2．奖励办法</w:t>
      </w:r>
    </w:p>
    <w:p>
      <w:pPr>
        <w:spacing w:line="360" w:lineRule="auto"/>
        <w:ind w:firstLine="480" w:firstLineChars="200"/>
        <w:rPr>
          <w:sz w:val="24"/>
          <w:szCs w:val="24"/>
        </w:rPr>
      </w:pPr>
      <w:r>
        <w:rPr>
          <w:rFonts w:hint="eastAsia"/>
          <w:sz w:val="24"/>
          <w:szCs w:val="24"/>
        </w:rPr>
        <w:t>2.1 本基金会设立如下奖励方法，酌情使用：</w:t>
      </w:r>
    </w:p>
    <w:p>
      <w:pPr>
        <w:spacing w:line="360" w:lineRule="auto"/>
        <w:ind w:firstLine="480" w:firstLineChars="200"/>
        <w:rPr>
          <w:sz w:val="24"/>
          <w:szCs w:val="24"/>
        </w:rPr>
      </w:pPr>
      <w:r>
        <w:rPr>
          <w:rFonts w:hint="eastAsia"/>
          <w:sz w:val="24"/>
          <w:szCs w:val="24"/>
        </w:rPr>
        <w:t>2.1.1通告表扬：有下列表现的员工应给予通告表扬：</w:t>
      </w:r>
    </w:p>
    <w:p>
      <w:pPr>
        <w:spacing w:line="360" w:lineRule="auto"/>
        <w:ind w:firstLine="480" w:firstLineChars="200"/>
        <w:rPr>
          <w:sz w:val="24"/>
          <w:szCs w:val="24"/>
        </w:rPr>
      </w:pPr>
      <w:r>
        <w:rPr>
          <w:rFonts w:hint="eastAsia"/>
          <w:sz w:val="24"/>
          <w:szCs w:val="24"/>
        </w:rPr>
        <w:t>2.1.1.1维护基金会利益，为基金会争得荣誉，防止或挽救事故与经济损失有功；</w:t>
      </w:r>
    </w:p>
    <w:p>
      <w:pPr>
        <w:spacing w:line="360" w:lineRule="auto"/>
        <w:ind w:firstLine="480" w:firstLineChars="200"/>
        <w:rPr>
          <w:sz w:val="24"/>
          <w:szCs w:val="24"/>
        </w:rPr>
      </w:pPr>
      <w:r>
        <w:rPr>
          <w:rFonts w:hint="eastAsia"/>
          <w:sz w:val="24"/>
          <w:szCs w:val="24"/>
        </w:rPr>
        <w:t>2.1.1.2一贯忠于职守，积极负责，廉洁奉公；</w:t>
      </w:r>
    </w:p>
    <w:p>
      <w:pPr>
        <w:spacing w:line="360" w:lineRule="auto"/>
        <w:ind w:firstLine="480" w:firstLineChars="200"/>
        <w:rPr>
          <w:sz w:val="24"/>
          <w:szCs w:val="24"/>
        </w:rPr>
      </w:pPr>
      <w:r>
        <w:rPr>
          <w:rFonts w:hint="eastAsia"/>
          <w:sz w:val="24"/>
          <w:szCs w:val="24"/>
        </w:rPr>
        <w:t>2.1.1.3 有其他功绩，足为其他员工楷模。</w:t>
      </w:r>
    </w:p>
    <w:p>
      <w:pPr>
        <w:spacing w:line="360" w:lineRule="auto"/>
        <w:ind w:firstLine="480" w:firstLineChars="200"/>
        <w:rPr>
          <w:sz w:val="24"/>
          <w:szCs w:val="24"/>
        </w:rPr>
      </w:pPr>
      <w:r>
        <w:rPr>
          <w:rFonts w:hint="eastAsia"/>
          <w:sz w:val="24"/>
          <w:szCs w:val="24"/>
        </w:rPr>
        <w:t>2.1.2 奖金奖励：有以下表现的员工应给予奖金奖励：</w:t>
      </w:r>
    </w:p>
    <w:p>
      <w:pPr>
        <w:spacing w:line="360" w:lineRule="auto"/>
        <w:ind w:firstLine="480" w:firstLineChars="200"/>
        <w:rPr>
          <w:sz w:val="24"/>
          <w:szCs w:val="24"/>
        </w:rPr>
      </w:pPr>
      <w:r>
        <w:rPr>
          <w:rFonts w:hint="eastAsia"/>
          <w:sz w:val="24"/>
          <w:szCs w:val="24"/>
        </w:rPr>
        <w:t>2.1.2.1思想进步，文明礼貌，团结互助，事迹突出；</w:t>
      </w:r>
    </w:p>
    <w:p>
      <w:pPr>
        <w:spacing w:line="360" w:lineRule="auto"/>
        <w:ind w:firstLine="480" w:firstLineChars="200"/>
        <w:rPr>
          <w:sz w:val="24"/>
          <w:szCs w:val="24"/>
        </w:rPr>
      </w:pPr>
      <w:r>
        <w:rPr>
          <w:rFonts w:hint="eastAsia"/>
          <w:sz w:val="24"/>
          <w:szCs w:val="24"/>
        </w:rPr>
        <w:t>2.1.2.2完成计划指标，工作业绩良好；</w:t>
      </w:r>
    </w:p>
    <w:p>
      <w:pPr>
        <w:spacing w:line="360" w:lineRule="auto"/>
        <w:ind w:firstLine="480" w:firstLineChars="200"/>
        <w:rPr>
          <w:sz w:val="24"/>
          <w:szCs w:val="24"/>
        </w:rPr>
      </w:pPr>
      <w:r>
        <w:rPr>
          <w:rFonts w:hint="eastAsia"/>
          <w:sz w:val="24"/>
          <w:szCs w:val="24"/>
        </w:rPr>
        <w:t>2.1.2.3带领有方，带领员工良好完成各项任务；</w:t>
      </w:r>
    </w:p>
    <w:p>
      <w:pPr>
        <w:spacing w:line="360" w:lineRule="auto"/>
        <w:ind w:firstLine="480" w:firstLineChars="200"/>
        <w:rPr>
          <w:sz w:val="24"/>
          <w:szCs w:val="24"/>
        </w:rPr>
      </w:pPr>
      <w:r>
        <w:rPr>
          <w:rFonts w:hint="eastAsia"/>
          <w:sz w:val="24"/>
          <w:szCs w:val="24"/>
        </w:rPr>
        <w:t>2.1.2.4其他对基金会做出贡献，理事会或秘书长认为应当给予奖励的。</w:t>
      </w:r>
    </w:p>
    <w:p>
      <w:pPr>
        <w:spacing w:line="360" w:lineRule="auto"/>
        <w:ind w:firstLine="480" w:firstLineChars="200"/>
        <w:rPr>
          <w:sz w:val="24"/>
          <w:szCs w:val="24"/>
        </w:rPr>
      </w:pPr>
      <w:r>
        <w:rPr>
          <w:rFonts w:hint="eastAsia"/>
          <w:sz w:val="24"/>
          <w:szCs w:val="24"/>
        </w:rPr>
        <w:t>2.1.3 晋升提级：有以上通告表扬和奖金奖励表现，基金会认为符合晋级条件的予以晋级奖励。</w:t>
      </w:r>
    </w:p>
    <w:p>
      <w:pPr>
        <w:spacing w:line="360" w:lineRule="auto"/>
        <w:ind w:firstLine="480" w:firstLineChars="200"/>
        <w:rPr>
          <w:sz w:val="24"/>
          <w:szCs w:val="24"/>
        </w:rPr>
      </w:pPr>
      <w:r>
        <w:rPr>
          <w:rFonts w:hint="eastAsia"/>
          <w:sz w:val="24"/>
          <w:szCs w:val="24"/>
        </w:rPr>
        <w:t>2.2 奖励程序：</w:t>
      </w:r>
    </w:p>
    <w:p>
      <w:pPr>
        <w:spacing w:line="360" w:lineRule="auto"/>
        <w:ind w:firstLine="480" w:firstLineChars="200"/>
        <w:rPr>
          <w:sz w:val="24"/>
          <w:szCs w:val="24"/>
        </w:rPr>
      </w:pPr>
      <w:r>
        <w:rPr>
          <w:rFonts w:hint="eastAsia"/>
          <w:sz w:val="24"/>
          <w:szCs w:val="24"/>
        </w:rPr>
        <w:t>2.2.1员工推荐、本人自荐或基金会内部提名；</w:t>
      </w:r>
    </w:p>
    <w:p>
      <w:pPr>
        <w:spacing w:line="360" w:lineRule="auto"/>
        <w:ind w:firstLine="480" w:firstLineChars="200"/>
        <w:rPr>
          <w:sz w:val="24"/>
          <w:szCs w:val="24"/>
        </w:rPr>
      </w:pPr>
      <w:r>
        <w:rPr>
          <w:rFonts w:hint="eastAsia"/>
          <w:sz w:val="24"/>
          <w:szCs w:val="24"/>
        </w:rPr>
        <w:t>2.2.2综合管理部审核；</w:t>
      </w:r>
    </w:p>
    <w:p>
      <w:pPr>
        <w:spacing w:line="360" w:lineRule="auto"/>
        <w:ind w:firstLine="480" w:firstLineChars="200"/>
        <w:rPr>
          <w:sz w:val="24"/>
          <w:szCs w:val="24"/>
        </w:rPr>
      </w:pPr>
      <w:r>
        <w:rPr>
          <w:rFonts w:hint="eastAsia"/>
          <w:sz w:val="24"/>
          <w:szCs w:val="24"/>
        </w:rPr>
        <w:t>2.2.3理事会或秘书长批准。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3．处罚办法</w:t>
      </w:r>
    </w:p>
    <w:p>
      <w:pPr>
        <w:spacing w:line="360" w:lineRule="auto"/>
        <w:ind w:firstLine="480" w:firstLineChars="200"/>
        <w:rPr>
          <w:sz w:val="24"/>
          <w:szCs w:val="24"/>
        </w:rPr>
      </w:pPr>
      <w:r>
        <w:rPr>
          <w:rFonts w:hint="eastAsia"/>
          <w:sz w:val="24"/>
          <w:szCs w:val="24"/>
        </w:rPr>
        <w:t>3.1视情节轻重，分别给以以下处罚：</w:t>
      </w:r>
    </w:p>
    <w:p>
      <w:pPr>
        <w:spacing w:line="360" w:lineRule="auto"/>
        <w:ind w:firstLine="480" w:firstLineChars="200"/>
        <w:rPr>
          <w:sz w:val="24"/>
          <w:szCs w:val="24"/>
        </w:rPr>
      </w:pPr>
      <w:r>
        <w:rPr>
          <w:rFonts w:hint="eastAsia"/>
          <w:sz w:val="24"/>
          <w:szCs w:val="24"/>
        </w:rPr>
        <w:t>3.1.1警告：员工有以下行为给以警告处分：</w:t>
      </w:r>
    </w:p>
    <w:p>
      <w:pPr>
        <w:spacing w:line="360" w:lineRule="auto"/>
        <w:ind w:firstLine="480" w:firstLineChars="200"/>
        <w:rPr>
          <w:sz w:val="24"/>
          <w:szCs w:val="24"/>
        </w:rPr>
      </w:pPr>
      <w:r>
        <w:rPr>
          <w:rFonts w:hint="eastAsia"/>
          <w:sz w:val="24"/>
          <w:szCs w:val="24"/>
        </w:rPr>
        <w:t>3.1.1.1工作时间内擅离工作岗位者或无故迟到、早退、旷工；</w:t>
      </w:r>
    </w:p>
    <w:p>
      <w:pPr>
        <w:spacing w:line="360" w:lineRule="auto"/>
        <w:ind w:firstLine="480" w:firstLineChars="200"/>
        <w:rPr>
          <w:sz w:val="24"/>
          <w:szCs w:val="24"/>
        </w:rPr>
      </w:pPr>
      <w:r>
        <w:rPr>
          <w:rFonts w:hint="eastAsia"/>
          <w:sz w:val="24"/>
          <w:szCs w:val="24"/>
        </w:rPr>
        <w:t>3.1.1.2妨害工作秩序或违反安全卫生工作守则；</w:t>
      </w:r>
    </w:p>
    <w:p>
      <w:pPr>
        <w:spacing w:line="360" w:lineRule="auto"/>
        <w:ind w:firstLine="480" w:firstLineChars="200"/>
        <w:rPr>
          <w:sz w:val="24"/>
          <w:szCs w:val="24"/>
        </w:rPr>
      </w:pPr>
      <w:r>
        <w:rPr>
          <w:rFonts w:hint="eastAsia"/>
          <w:sz w:val="24"/>
          <w:szCs w:val="24"/>
        </w:rPr>
        <w:t>3.1.1.3无故不参加本基金会安排的培训课程；</w:t>
      </w:r>
    </w:p>
    <w:p>
      <w:pPr>
        <w:spacing w:line="360" w:lineRule="auto"/>
        <w:ind w:firstLine="480" w:firstLineChars="200"/>
        <w:rPr>
          <w:sz w:val="24"/>
          <w:szCs w:val="24"/>
        </w:rPr>
      </w:pPr>
      <w:r>
        <w:rPr>
          <w:rFonts w:hint="eastAsia"/>
          <w:sz w:val="24"/>
          <w:szCs w:val="24"/>
        </w:rPr>
        <w:t>3.1.1.4无故随意违反主管人员指挥；</w:t>
      </w:r>
    </w:p>
    <w:p>
      <w:pPr>
        <w:spacing w:line="360" w:lineRule="auto"/>
        <w:ind w:firstLine="480" w:firstLineChars="200"/>
        <w:rPr>
          <w:sz w:val="24"/>
          <w:szCs w:val="24"/>
        </w:rPr>
      </w:pPr>
      <w:r>
        <w:rPr>
          <w:rFonts w:hint="eastAsia"/>
          <w:sz w:val="24"/>
          <w:szCs w:val="24"/>
        </w:rPr>
        <w:t>3.1.1.5浪费公物。</w:t>
      </w:r>
    </w:p>
    <w:p>
      <w:pPr>
        <w:spacing w:line="360" w:lineRule="auto"/>
        <w:ind w:firstLine="480" w:firstLineChars="200"/>
        <w:rPr>
          <w:sz w:val="24"/>
          <w:szCs w:val="24"/>
        </w:rPr>
      </w:pPr>
      <w:r>
        <w:rPr>
          <w:rFonts w:hint="eastAsia"/>
          <w:sz w:val="24"/>
          <w:szCs w:val="24"/>
        </w:rPr>
        <w:t>3.1.2记过：员工有以下行为者，给予记过处分：</w:t>
      </w:r>
    </w:p>
    <w:p>
      <w:pPr>
        <w:spacing w:line="360" w:lineRule="auto"/>
        <w:ind w:firstLine="480" w:firstLineChars="200"/>
        <w:rPr>
          <w:sz w:val="24"/>
          <w:szCs w:val="24"/>
        </w:rPr>
      </w:pPr>
      <w:r>
        <w:rPr>
          <w:rFonts w:hint="eastAsia"/>
          <w:sz w:val="24"/>
          <w:szCs w:val="24"/>
        </w:rPr>
        <w:t>3.1.2.1对上级指示或有期限之命令，未申报正当理由而未如期完成或处理不当；</w:t>
      </w:r>
    </w:p>
    <w:p>
      <w:pPr>
        <w:spacing w:line="360" w:lineRule="auto"/>
        <w:ind w:firstLine="480" w:firstLineChars="200"/>
        <w:rPr>
          <w:sz w:val="24"/>
          <w:szCs w:val="24"/>
        </w:rPr>
      </w:pPr>
      <w:r>
        <w:rPr>
          <w:rFonts w:hint="eastAsia"/>
          <w:sz w:val="24"/>
          <w:szCs w:val="24"/>
        </w:rPr>
        <w:t>3.1.2.4投机取巧，隐瞒蒙蔽，谋取非分利益。</w:t>
      </w:r>
    </w:p>
    <w:p>
      <w:pPr>
        <w:spacing w:line="360" w:lineRule="auto"/>
        <w:ind w:firstLine="480" w:firstLineChars="200"/>
        <w:rPr>
          <w:sz w:val="24"/>
          <w:szCs w:val="24"/>
        </w:rPr>
      </w:pPr>
      <w:r>
        <w:rPr>
          <w:rFonts w:hint="eastAsia"/>
          <w:sz w:val="24"/>
          <w:szCs w:val="24"/>
        </w:rPr>
        <w:t>3.1.3降级：员工有以下行为者，给予降级处分：</w:t>
      </w:r>
    </w:p>
    <w:p>
      <w:pPr>
        <w:spacing w:line="360" w:lineRule="auto"/>
        <w:ind w:firstLine="480" w:firstLineChars="200"/>
        <w:rPr>
          <w:sz w:val="24"/>
          <w:szCs w:val="24"/>
        </w:rPr>
      </w:pPr>
      <w:r>
        <w:rPr>
          <w:rFonts w:hint="eastAsia"/>
          <w:sz w:val="24"/>
          <w:szCs w:val="24"/>
        </w:rPr>
        <w:t>3.1.3.1 违反基金会规章制度，给基金会造成经济损失或不良影响的；</w:t>
      </w:r>
    </w:p>
    <w:p>
      <w:pPr>
        <w:spacing w:line="360" w:lineRule="auto"/>
        <w:ind w:firstLine="480" w:firstLineChars="200"/>
        <w:rPr>
          <w:sz w:val="24"/>
          <w:szCs w:val="24"/>
        </w:rPr>
      </w:pPr>
      <w:r>
        <w:rPr>
          <w:rFonts w:hint="eastAsia"/>
          <w:sz w:val="24"/>
          <w:szCs w:val="24"/>
        </w:rPr>
        <w:t>3.1.3.2 受聘时虚报资料，使本基金会误信而遭受损害的；</w:t>
      </w:r>
    </w:p>
    <w:p>
      <w:pPr>
        <w:spacing w:line="360" w:lineRule="auto"/>
        <w:ind w:firstLine="480" w:firstLineChars="200"/>
        <w:rPr>
          <w:sz w:val="24"/>
          <w:szCs w:val="24"/>
        </w:rPr>
      </w:pPr>
      <w:r>
        <w:rPr>
          <w:rFonts w:hint="eastAsia"/>
          <w:sz w:val="24"/>
          <w:szCs w:val="24"/>
        </w:rPr>
        <w:t>3.1.</w:t>
      </w:r>
      <w:r>
        <w:rPr>
          <w:rFonts w:hint="eastAsia"/>
          <w:sz w:val="24"/>
          <w:szCs w:val="24"/>
          <w:lang w:val="en-US" w:eastAsia="zh-CN"/>
        </w:rPr>
        <w:t>3</w:t>
      </w:r>
      <w:r>
        <w:rPr>
          <w:rFonts w:hint="eastAsia"/>
          <w:sz w:val="24"/>
          <w:szCs w:val="24"/>
        </w:rPr>
        <w:t>.</w:t>
      </w:r>
      <w:r>
        <w:rPr>
          <w:rFonts w:hint="eastAsia"/>
          <w:sz w:val="24"/>
          <w:szCs w:val="24"/>
          <w:lang w:val="en-US" w:eastAsia="zh-CN"/>
        </w:rPr>
        <w:t>3</w:t>
      </w:r>
      <w:r>
        <w:rPr>
          <w:rFonts w:hint="eastAsia"/>
          <w:sz w:val="24"/>
          <w:szCs w:val="24"/>
        </w:rPr>
        <w:t xml:space="preserve">  蓄意损坏基金会或他人财物的；</w:t>
      </w:r>
    </w:p>
    <w:p>
      <w:pPr>
        <w:spacing w:line="360" w:lineRule="auto"/>
        <w:ind w:firstLine="480" w:firstLineChars="200"/>
        <w:rPr>
          <w:sz w:val="24"/>
          <w:szCs w:val="24"/>
        </w:rPr>
      </w:pPr>
      <w:r>
        <w:rPr>
          <w:rFonts w:hint="eastAsia"/>
          <w:sz w:val="24"/>
          <w:szCs w:val="24"/>
        </w:rPr>
        <w:t>3.1.</w:t>
      </w:r>
      <w:r>
        <w:rPr>
          <w:rFonts w:hint="eastAsia"/>
          <w:sz w:val="24"/>
          <w:szCs w:val="24"/>
          <w:lang w:val="en-US" w:eastAsia="zh-CN"/>
        </w:rPr>
        <w:t>3</w:t>
      </w:r>
      <w:r>
        <w:rPr>
          <w:rFonts w:hint="eastAsia"/>
          <w:sz w:val="24"/>
          <w:szCs w:val="24"/>
        </w:rPr>
        <w:t>.</w:t>
      </w:r>
      <w:r>
        <w:rPr>
          <w:rFonts w:hint="eastAsia"/>
          <w:sz w:val="24"/>
          <w:szCs w:val="24"/>
          <w:lang w:val="en-US" w:eastAsia="zh-CN"/>
        </w:rPr>
        <w:t>4</w:t>
      </w:r>
      <w:r>
        <w:rPr>
          <w:rFonts w:hint="eastAsia"/>
          <w:sz w:val="24"/>
          <w:szCs w:val="24"/>
        </w:rPr>
        <w:t xml:space="preserve"> 不服从工作安排和调动、指挥，或无理取闹，影响工作秩序的；</w:t>
      </w:r>
    </w:p>
    <w:p>
      <w:pPr>
        <w:spacing w:line="360" w:lineRule="auto"/>
        <w:ind w:firstLine="480" w:firstLineChars="200"/>
        <w:rPr>
          <w:sz w:val="24"/>
          <w:szCs w:val="24"/>
        </w:rPr>
      </w:pPr>
      <w:r>
        <w:rPr>
          <w:rFonts w:hint="eastAsia"/>
          <w:sz w:val="24"/>
          <w:szCs w:val="24"/>
        </w:rPr>
        <w:t>3.1.3.5 散布谣言，损害基金会声誉或影响的；</w:t>
      </w:r>
    </w:p>
    <w:p>
      <w:pPr>
        <w:spacing w:line="360" w:lineRule="auto"/>
        <w:ind w:firstLine="480" w:firstLineChars="200"/>
        <w:rPr>
          <w:sz w:val="24"/>
          <w:szCs w:val="24"/>
        </w:rPr>
      </w:pPr>
      <w:r>
        <w:rPr>
          <w:rFonts w:hint="eastAsia"/>
          <w:sz w:val="24"/>
          <w:szCs w:val="24"/>
        </w:rPr>
        <w:t>3.1.4辞退：员工有以下行为者，给以辞退处分：</w:t>
      </w:r>
    </w:p>
    <w:p>
      <w:pPr>
        <w:spacing w:line="360" w:lineRule="auto"/>
        <w:ind w:firstLine="480" w:firstLineChars="200"/>
        <w:rPr>
          <w:sz w:val="24"/>
          <w:szCs w:val="24"/>
        </w:rPr>
      </w:pPr>
      <w:r>
        <w:rPr>
          <w:rFonts w:hint="eastAsia"/>
          <w:sz w:val="24"/>
          <w:szCs w:val="24"/>
        </w:rPr>
        <w:t>3.1.4.1 偷窃同事或公有财物；</w:t>
      </w:r>
    </w:p>
    <w:p>
      <w:pPr>
        <w:spacing w:line="360" w:lineRule="auto"/>
        <w:ind w:firstLine="480" w:firstLineChars="200"/>
        <w:rPr>
          <w:sz w:val="24"/>
          <w:szCs w:val="24"/>
        </w:rPr>
      </w:pPr>
      <w:r>
        <w:rPr>
          <w:rFonts w:hint="eastAsia"/>
          <w:sz w:val="24"/>
          <w:szCs w:val="24"/>
        </w:rPr>
        <w:t>3.1.4.2 擅离职守，导致事故，使基金会蒙受重大损失；</w:t>
      </w:r>
    </w:p>
    <w:p>
      <w:pPr>
        <w:spacing w:line="360" w:lineRule="auto"/>
        <w:ind w:firstLine="480" w:firstLineChars="200"/>
        <w:rPr>
          <w:sz w:val="24"/>
          <w:szCs w:val="24"/>
        </w:rPr>
      </w:pPr>
      <w:r>
        <w:rPr>
          <w:rFonts w:hint="eastAsia"/>
          <w:sz w:val="24"/>
          <w:szCs w:val="24"/>
        </w:rPr>
        <w:t>3.1.</w:t>
      </w:r>
      <w:r>
        <w:rPr>
          <w:rFonts w:hint="eastAsia"/>
          <w:sz w:val="24"/>
          <w:szCs w:val="24"/>
          <w:lang w:val="en-US" w:eastAsia="zh-CN"/>
        </w:rPr>
        <w:t>4</w:t>
      </w:r>
      <w:r>
        <w:rPr>
          <w:rFonts w:hint="eastAsia"/>
          <w:sz w:val="24"/>
          <w:szCs w:val="24"/>
        </w:rPr>
        <w:t>.3 泄漏基金会重要机密；</w:t>
      </w:r>
    </w:p>
    <w:p>
      <w:pPr>
        <w:spacing w:line="360" w:lineRule="auto"/>
        <w:ind w:firstLine="480" w:firstLineChars="200"/>
        <w:rPr>
          <w:sz w:val="24"/>
          <w:szCs w:val="24"/>
        </w:rPr>
      </w:pPr>
      <w:r>
        <w:rPr>
          <w:rFonts w:hint="eastAsia"/>
          <w:sz w:val="24"/>
          <w:szCs w:val="24"/>
        </w:rPr>
        <w:t>3.1.4.4  违反劳动合同或工作规则情节严重；</w:t>
      </w:r>
    </w:p>
    <w:p>
      <w:pPr>
        <w:spacing w:line="360" w:lineRule="auto"/>
        <w:ind w:firstLine="480" w:firstLineChars="200"/>
        <w:rPr>
          <w:sz w:val="24"/>
          <w:szCs w:val="24"/>
        </w:rPr>
      </w:pPr>
      <w:r>
        <w:rPr>
          <w:rFonts w:hint="eastAsia"/>
          <w:sz w:val="24"/>
          <w:szCs w:val="24"/>
        </w:rPr>
        <w:t>3.1.4.5  造谣生事，散播谣言致基金会蒙受重大不利。</w:t>
      </w:r>
    </w:p>
    <w:p>
      <w:pPr>
        <w:spacing w:line="360" w:lineRule="auto"/>
        <w:ind w:firstLine="480" w:firstLineChars="200"/>
        <w:rPr>
          <w:sz w:val="24"/>
          <w:szCs w:val="24"/>
        </w:rPr>
      </w:pPr>
      <w:r>
        <w:rPr>
          <w:rFonts w:hint="eastAsia"/>
          <w:sz w:val="24"/>
          <w:szCs w:val="24"/>
        </w:rPr>
        <w:t>3.1.4.6  经常违反基金会规定屡教不改；</w:t>
      </w:r>
    </w:p>
    <w:p>
      <w:pPr>
        <w:spacing w:line="360" w:lineRule="auto"/>
        <w:ind w:firstLine="480" w:firstLineChars="200"/>
        <w:rPr>
          <w:sz w:val="24"/>
          <w:szCs w:val="24"/>
        </w:rPr>
      </w:pPr>
      <w:r>
        <w:rPr>
          <w:rFonts w:hint="eastAsia"/>
          <w:sz w:val="24"/>
          <w:szCs w:val="24"/>
        </w:rPr>
        <w:t>3.1.4.7 因行为不当，基金会无法再对其信任；</w:t>
      </w:r>
    </w:p>
    <w:p>
      <w:pPr>
        <w:spacing w:line="360" w:lineRule="auto"/>
        <w:ind w:firstLine="480" w:firstLineChars="200"/>
        <w:rPr>
          <w:sz w:val="24"/>
          <w:szCs w:val="24"/>
        </w:rPr>
      </w:pPr>
      <w:r>
        <w:rPr>
          <w:rFonts w:hint="eastAsia"/>
          <w:sz w:val="24"/>
          <w:szCs w:val="24"/>
        </w:rPr>
        <w:t>3.1.4.8 违反国家法规、法律、政策被刑事拘留；</w:t>
      </w:r>
    </w:p>
    <w:p>
      <w:pPr>
        <w:spacing w:line="360" w:lineRule="auto"/>
        <w:ind w:firstLine="480" w:firstLineChars="200"/>
        <w:rPr>
          <w:sz w:val="24"/>
          <w:szCs w:val="24"/>
        </w:rPr>
      </w:pPr>
      <w:r>
        <w:rPr>
          <w:rFonts w:hint="eastAsia"/>
          <w:sz w:val="24"/>
          <w:szCs w:val="24"/>
        </w:rPr>
        <w:t>3</w:t>
      </w:r>
      <w:r>
        <w:rPr>
          <w:sz w:val="24"/>
          <w:szCs w:val="24"/>
        </w:rPr>
        <w:t>.1.4.9</w:t>
      </w:r>
      <w:r>
        <w:rPr>
          <w:rFonts w:hint="eastAsia"/>
          <w:sz w:val="24"/>
          <w:szCs w:val="24"/>
        </w:rPr>
        <w:t>在工作及生活期间性骚扰、性侵行为发生；</w:t>
      </w:r>
    </w:p>
    <w:p>
      <w:pPr>
        <w:spacing w:line="360" w:lineRule="auto"/>
        <w:ind w:firstLine="480" w:firstLineChars="200"/>
        <w:rPr>
          <w:sz w:val="24"/>
          <w:szCs w:val="24"/>
        </w:rPr>
      </w:pPr>
      <w:r>
        <w:rPr>
          <w:rFonts w:hint="eastAsia"/>
          <w:sz w:val="24"/>
          <w:szCs w:val="24"/>
        </w:rPr>
        <w:t>3.1.</w:t>
      </w:r>
      <w:r>
        <w:rPr>
          <w:rFonts w:hint="eastAsia"/>
          <w:sz w:val="24"/>
          <w:szCs w:val="24"/>
          <w:lang w:val="en-US" w:eastAsia="zh-CN"/>
        </w:rPr>
        <w:t>4</w:t>
      </w:r>
      <w:r>
        <w:rPr>
          <w:rFonts w:hint="eastAsia"/>
          <w:sz w:val="24"/>
          <w:szCs w:val="24"/>
        </w:rPr>
        <w:t>.</w:t>
      </w:r>
      <w:r>
        <w:rPr>
          <w:rFonts w:hint="eastAsia"/>
          <w:sz w:val="24"/>
          <w:szCs w:val="24"/>
          <w:lang w:val="en-US" w:eastAsia="zh-CN"/>
        </w:rPr>
        <w:t>1</w:t>
      </w:r>
      <w:r>
        <w:rPr>
          <w:rFonts w:hint="eastAsia"/>
          <w:sz w:val="24"/>
          <w:szCs w:val="24"/>
        </w:rPr>
        <w:t xml:space="preserve">0其他重大过失或不当行为，导致严重后果。 </w:t>
      </w:r>
    </w:p>
    <w:p>
      <w:pPr>
        <w:spacing w:line="360" w:lineRule="auto"/>
        <w:ind w:firstLine="480" w:firstLineChars="200"/>
        <w:rPr>
          <w:sz w:val="24"/>
          <w:szCs w:val="24"/>
        </w:rPr>
      </w:pPr>
      <w:r>
        <w:rPr>
          <w:rFonts w:hint="eastAsia"/>
          <w:sz w:val="24"/>
          <w:szCs w:val="24"/>
        </w:rPr>
        <w:t>3.2处罚方法</w:t>
      </w:r>
    </w:p>
    <w:p>
      <w:pPr>
        <w:spacing w:line="360" w:lineRule="auto"/>
        <w:ind w:firstLine="480" w:firstLineChars="200"/>
        <w:rPr>
          <w:sz w:val="24"/>
          <w:szCs w:val="24"/>
        </w:rPr>
      </w:pPr>
      <w:r>
        <w:rPr>
          <w:rFonts w:hint="eastAsia"/>
          <w:sz w:val="24"/>
          <w:szCs w:val="24"/>
        </w:rPr>
        <w:t>3.2.1 给予员工行政处分和经济处罚，应当慎重决定。必须弄清事实，取得证据，经过专题会议讨论，征求有关部门意见，允许受处分人进行申辩，并需报经秘书长审核同意后方可进行。</w:t>
      </w:r>
    </w:p>
    <w:p>
      <w:pPr>
        <w:spacing w:line="360" w:lineRule="auto"/>
        <w:ind w:firstLine="480" w:firstLineChars="200"/>
        <w:rPr>
          <w:sz w:val="24"/>
          <w:szCs w:val="24"/>
        </w:rPr>
      </w:pPr>
      <w:r>
        <w:rPr>
          <w:rFonts w:hint="eastAsia"/>
          <w:sz w:val="24"/>
          <w:szCs w:val="24"/>
        </w:rPr>
        <w:t>3.2.2 受处分的员工，在处罚事项未了结之前，不得擅自离开本基金会(基金会宣布辞退、开除的除外)。</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before="156" w:beforeLines="50" w:after="156" w:afterLines="50" w:line="360" w:lineRule="auto"/>
        <w:jc w:val="center"/>
        <w:outlineLvl w:val="1"/>
        <w:rPr>
          <w:rFonts w:ascii="黑体" w:hAnsi="黑体" w:eastAsia="黑体"/>
          <w:b/>
          <w:sz w:val="32"/>
          <w:szCs w:val="32"/>
        </w:rPr>
      </w:pPr>
      <w:bookmarkStart w:id="40" w:name="_Toc403829194"/>
      <w:bookmarkStart w:id="41" w:name="_Toc16645"/>
      <w:r>
        <w:rPr>
          <w:rFonts w:hint="eastAsia" w:ascii="黑体" w:hAnsi="黑体" w:eastAsia="黑体"/>
          <w:b/>
          <w:sz w:val="32"/>
          <w:szCs w:val="32"/>
        </w:rPr>
        <w:t>二十</w:t>
      </w:r>
      <w:r>
        <w:rPr>
          <w:rFonts w:hint="eastAsia" w:ascii="黑体" w:hAnsi="黑体" w:eastAsia="黑体"/>
          <w:b/>
          <w:sz w:val="32"/>
          <w:szCs w:val="32"/>
          <w:lang w:val="en-US" w:eastAsia="zh-CN"/>
        </w:rPr>
        <w:t>二</w:t>
      </w:r>
      <w:r>
        <w:rPr>
          <w:rFonts w:hint="eastAsia" w:ascii="黑体" w:hAnsi="黑体" w:eastAsia="黑体"/>
          <w:b/>
          <w:sz w:val="32"/>
          <w:szCs w:val="32"/>
        </w:rPr>
        <w:t xml:space="preserve"> </w:t>
      </w:r>
      <w:r>
        <w:rPr>
          <w:rFonts w:hint="eastAsia" w:ascii="黑体" w:hAnsi="黑体" w:eastAsia="黑体"/>
          <w:b/>
          <w:sz w:val="32"/>
          <w:szCs w:val="32"/>
          <w:lang w:eastAsia="zh-CN"/>
        </w:rPr>
        <w:t>北京天地文化发展</w:t>
      </w:r>
      <w:r>
        <w:rPr>
          <w:rFonts w:hint="eastAsia" w:ascii="黑体" w:hAnsi="黑体" w:eastAsia="黑体"/>
          <w:b/>
          <w:sz w:val="32"/>
          <w:szCs w:val="32"/>
        </w:rPr>
        <w:t>基金会绩效考核管理制度</w:t>
      </w:r>
      <w:bookmarkEnd w:id="40"/>
      <w:bookmarkEnd w:id="41"/>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 为规范</w:t>
      </w:r>
      <w:r>
        <w:rPr>
          <w:rFonts w:hint="eastAsia"/>
          <w:sz w:val="24"/>
          <w:szCs w:val="24"/>
          <w:lang w:eastAsia="zh-CN"/>
        </w:rPr>
        <w:t>北京天地文化发展</w:t>
      </w:r>
      <w:r>
        <w:rPr>
          <w:rFonts w:hint="eastAsia"/>
          <w:sz w:val="24"/>
          <w:szCs w:val="24"/>
        </w:rPr>
        <w:t>基金会（以下简称“本基金会”）的人力资源管理，特制定本制度。</w:t>
      </w:r>
    </w:p>
    <w:p>
      <w:pPr>
        <w:spacing w:line="360" w:lineRule="auto"/>
        <w:ind w:firstLine="480" w:firstLineChars="200"/>
        <w:rPr>
          <w:sz w:val="24"/>
          <w:szCs w:val="24"/>
        </w:rPr>
      </w:pPr>
      <w:r>
        <w:rPr>
          <w:rFonts w:hint="eastAsia"/>
          <w:sz w:val="24"/>
          <w:szCs w:val="24"/>
        </w:rPr>
        <w:t>1.2</w:t>
      </w:r>
      <w:r>
        <w:rPr>
          <w:rFonts w:hint="eastAsia"/>
          <w:sz w:val="24"/>
          <w:szCs w:val="24"/>
        </w:rPr>
        <w:tab/>
      </w:r>
      <w:r>
        <w:rPr>
          <w:rFonts w:hint="eastAsia"/>
          <w:sz w:val="24"/>
          <w:szCs w:val="24"/>
        </w:rPr>
        <w:t>本基金会员工的人力资源管理事项除国家有关规定外，皆按本管理制度办理。</w:t>
      </w:r>
    </w:p>
    <w:p>
      <w:pPr>
        <w:spacing w:line="360" w:lineRule="auto"/>
        <w:ind w:firstLine="480" w:firstLineChars="200"/>
        <w:rPr>
          <w:sz w:val="24"/>
          <w:szCs w:val="24"/>
        </w:rPr>
      </w:pPr>
      <w:r>
        <w:rPr>
          <w:rFonts w:hint="eastAsia"/>
          <w:sz w:val="24"/>
          <w:szCs w:val="24"/>
        </w:rPr>
        <w:t>1.3本管理制度适用于本基金会全体员工。</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2．绩效考核管理</w:t>
      </w:r>
    </w:p>
    <w:p>
      <w:pPr>
        <w:spacing w:line="360" w:lineRule="auto"/>
        <w:ind w:firstLine="480" w:firstLineChars="200"/>
        <w:rPr>
          <w:sz w:val="24"/>
          <w:szCs w:val="24"/>
        </w:rPr>
      </w:pPr>
      <w:r>
        <w:rPr>
          <w:rFonts w:hint="eastAsia"/>
          <w:sz w:val="24"/>
          <w:szCs w:val="24"/>
        </w:rPr>
        <w:t>2.1 绩效考核的目标</w:t>
      </w:r>
    </w:p>
    <w:p>
      <w:pPr>
        <w:spacing w:line="360" w:lineRule="auto"/>
        <w:ind w:firstLine="480" w:firstLineChars="200"/>
        <w:rPr>
          <w:sz w:val="24"/>
          <w:szCs w:val="24"/>
        </w:rPr>
      </w:pPr>
      <w:r>
        <w:rPr>
          <w:rFonts w:hint="eastAsia"/>
          <w:sz w:val="24"/>
          <w:szCs w:val="24"/>
        </w:rPr>
        <w:t>2.1.1 客观、公正评价员工工作表现，进一步提高员工的工作绩效；</w:t>
      </w:r>
    </w:p>
    <w:p>
      <w:pPr>
        <w:spacing w:line="360" w:lineRule="auto"/>
        <w:ind w:firstLine="480" w:firstLineChars="200"/>
        <w:rPr>
          <w:sz w:val="24"/>
          <w:szCs w:val="24"/>
        </w:rPr>
      </w:pPr>
      <w:r>
        <w:rPr>
          <w:rFonts w:hint="eastAsia"/>
          <w:sz w:val="24"/>
          <w:szCs w:val="24"/>
        </w:rPr>
        <w:t>2.1.2 为人力资源管理提供依据；</w:t>
      </w:r>
    </w:p>
    <w:p>
      <w:pPr>
        <w:spacing w:line="360" w:lineRule="auto"/>
        <w:ind w:firstLine="480" w:firstLineChars="200"/>
        <w:rPr>
          <w:sz w:val="24"/>
          <w:szCs w:val="24"/>
        </w:rPr>
      </w:pPr>
      <w:r>
        <w:rPr>
          <w:rFonts w:hint="eastAsia"/>
          <w:sz w:val="24"/>
          <w:szCs w:val="24"/>
        </w:rPr>
        <w:t>2.1.3 加强沟通，建立良好的工作氛围。</w:t>
      </w:r>
    </w:p>
    <w:p>
      <w:pPr>
        <w:spacing w:line="360" w:lineRule="auto"/>
        <w:ind w:firstLine="480" w:firstLineChars="200"/>
        <w:rPr>
          <w:sz w:val="24"/>
          <w:szCs w:val="24"/>
        </w:rPr>
      </w:pPr>
      <w:r>
        <w:rPr>
          <w:rFonts w:hint="eastAsia"/>
          <w:sz w:val="24"/>
          <w:szCs w:val="24"/>
        </w:rPr>
        <w:t>2.2 绩效考核的基本准则</w:t>
      </w:r>
    </w:p>
    <w:p>
      <w:pPr>
        <w:spacing w:line="360" w:lineRule="auto"/>
        <w:ind w:firstLine="480" w:firstLineChars="200"/>
        <w:rPr>
          <w:sz w:val="24"/>
          <w:szCs w:val="24"/>
        </w:rPr>
      </w:pPr>
      <w:r>
        <w:rPr>
          <w:rFonts w:hint="eastAsia"/>
          <w:sz w:val="24"/>
          <w:szCs w:val="24"/>
        </w:rPr>
        <w:t>2.2.1绩效考核坚持公开、公正和公平的原则，上级按照管理权限和管理职责对下属做出正确的考核与评价；</w:t>
      </w:r>
    </w:p>
    <w:p>
      <w:pPr>
        <w:spacing w:line="360" w:lineRule="auto"/>
        <w:ind w:firstLine="480" w:firstLineChars="200"/>
        <w:rPr>
          <w:sz w:val="24"/>
          <w:szCs w:val="24"/>
        </w:rPr>
      </w:pPr>
      <w:r>
        <w:rPr>
          <w:rFonts w:hint="eastAsia"/>
          <w:sz w:val="24"/>
          <w:szCs w:val="24"/>
        </w:rPr>
        <w:t>2.2.2 绩效考核办法应达成基金会内部共识，包括获得员工的普遍理解和认同；</w:t>
      </w:r>
    </w:p>
    <w:p>
      <w:pPr>
        <w:spacing w:line="360" w:lineRule="auto"/>
        <w:ind w:firstLine="480" w:firstLineChars="200"/>
        <w:rPr>
          <w:sz w:val="24"/>
          <w:szCs w:val="24"/>
        </w:rPr>
      </w:pPr>
      <w:r>
        <w:rPr>
          <w:rFonts w:hint="eastAsia"/>
          <w:sz w:val="24"/>
          <w:szCs w:val="24"/>
        </w:rPr>
        <w:t>2.2.3 绩效考核以工作业绩提升和员工能力发展为导向，旨在提高基金会工作业绩和团队能力；</w:t>
      </w:r>
    </w:p>
    <w:p>
      <w:pPr>
        <w:spacing w:line="360" w:lineRule="auto"/>
        <w:ind w:firstLine="480" w:firstLineChars="200"/>
        <w:rPr>
          <w:sz w:val="24"/>
          <w:szCs w:val="24"/>
        </w:rPr>
      </w:pPr>
      <w:r>
        <w:rPr>
          <w:rFonts w:hint="eastAsia"/>
          <w:sz w:val="24"/>
          <w:szCs w:val="24"/>
        </w:rPr>
        <w:t>2.2.4 将绩效考核工作贯穿于日常管理工作中；</w:t>
      </w:r>
    </w:p>
    <w:p>
      <w:pPr>
        <w:spacing w:line="360" w:lineRule="auto"/>
        <w:ind w:firstLine="480" w:firstLineChars="200"/>
        <w:rPr>
          <w:sz w:val="24"/>
          <w:szCs w:val="24"/>
        </w:rPr>
      </w:pPr>
      <w:r>
        <w:rPr>
          <w:rFonts w:hint="eastAsia"/>
          <w:sz w:val="24"/>
          <w:szCs w:val="24"/>
        </w:rPr>
        <w:t>2.</w:t>
      </w:r>
      <w:r>
        <w:rPr>
          <w:rFonts w:hint="eastAsia"/>
          <w:sz w:val="24"/>
          <w:szCs w:val="24"/>
          <w:lang w:val="en-US" w:eastAsia="zh-CN"/>
        </w:rPr>
        <w:t>2</w:t>
      </w:r>
      <w:r>
        <w:rPr>
          <w:rFonts w:hint="eastAsia"/>
          <w:sz w:val="24"/>
          <w:szCs w:val="24"/>
        </w:rPr>
        <w:t>.5 考核者与被考核者之间需进行及时有效沟通，考核结束后，各级主管必须与每一位下属进行考核面谈，肯定业绩，指出不足，为员工职业能力和工作业绩的不断提高指明方向；</w:t>
      </w:r>
    </w:p>
    <w:p>
      <w:pPr>
        <w:spacing w:line="360" w:lineRule="auto"/>
        <w:ind w:firstLine="480" w:firstLineChars="200"/>
        <w:rPr>
          <w:sz w:val="24"/>
          <w:szCs w:val="24"/>
        </w:rPr>
      </w:pPr>
      <w:r>
        <w:rPr>
          <w:rFonts w:hint="eastAsia"/>
          <w:sz w:val="24"/>
          <w:szCs w:val="24"/>
        </w:rPr>
        <w:t>2.2.6考核结果经基金会综合管理部汇总报上级管理者核准，并按核准后的考核结果执行。</w:t>
      </w:r>
    </w:p>
    <w:p>
      <w:pPr>
        <w:spacing w:line="360" w:lineRule="auto"/>
        <w:ind w:firstLine="480" w:firstLineChars="200"/>
        <w:rPr>
          <w:sz w:val="24"/>
          <w:szCs w:val="24"/>
        </w:rPr>
      </w:pPr>
      <w:r>
        <w:rPr>
          <w:rFonts w:hint="eastAsia"/>
          <w:sz w:val="24"/>
          <w:szCs w:val="24"/>
        </w:rPr>
        <w:t>2.3绩效考核的流程</w:t>
      </w:r>
    </w:p>
    <w:p>
      <w:pPr>
        <w:spacing w:line="360" w:lineRule="auto"/>
        <w:ind w:firstLine="480" w:firstLineChars="200"/>
        <w:rPr>
          <w:sz w:val="24"/>
          <w:szCs w:val="24"/>
        </w:rPr>
      </w:pPr>
      <w:r>
        <w:rPr>
          <w:rFonts w:hint="eastAsia"/>
          <w:sz w:val="24"/>
          <w:szCs w:val="24"/>
        </w:rPr>
        <w:t>2.3.1发布考核通知和相关表单；</w:t>
      </w:r>
    </w:p>
    <w:p>
      <w:pPr>
        <w:spacing w:line="360" w:lineRule="auto"/>
        <w:ind w:firstLine="480" w:firstLineChars="200"/>
        <w:rPr>
          <w:sz w:val="24"/>
          <w:szCs w:val="24"/>
        </w:rPr>
      </w:pPr>
      <w:r>
        <w:rPr>
          <w:rFonts w:hint="eastAsia"/>
          <w:sz w:val="24"/>
          <w:szCs w:val="24"/>
        </w:rPr>
        <w:t>2.3.2各部门总结工作，根据本部门重点工作、基础工作的任务和指标，将分解到各员工的各项任务与员工再次明确；</w:t>
      </w:r>
    </w:p>
    <w:p>
      <w:pPr>
        <w:spacing w:line="360" w:lineRule="auto"/>
        <w:ind w:firstLine="480" w:firstLineChars="200"/>
        <w:rPr>
          <w:sz w:val="24"/>
          <w:szCs w:val="24"/>
        </w:rPr>
      </w:pPr>
      <w:r>
        <w:rPr>
          <w:rFonts w:hint="eastAsia"/>
          <w:sz w:val="24"/>
          <w:szCs w:val="24"/>
        </w:rPr>
        <w:t>2.3.3员工自我评估：员工根据明确的任务以及年度工作执行情况填写《年度绩效计划完成情况表》。同时，员工撰写述职报告；</w:t>
      </w:r>
    </w:p>
    <w:p>
      <w:pPr>
        <w:spacing w:line="360" w:lineRule="auto"/>
        <w:ind w:firstLine="480" w:firstLineChars="200"/>
        <w:rPr>
          <w:sz w:val="24"/>
          <w:szCs w:val="24"/>
        </w:rPr>
      </w:pPr>
      <w:r>
        <w:rPr>
          <w:rFonts w:hint="eastAsia"/>
          <w:sz w:val="24"/>
          <w:szCs w:val="24"/>
        </w:rPr>
        <w:t>2.3.4进行全员述职和同事民主测评、上级考核；</w:t>
      </w:r>
    </w:p>
    <w:p>
      <w:pPr>
        <w:spacing w:line="360" w:lineRule="auto"/>
        <w:ind w:firstLine="480" w:firstLineChars="200"/>
        <w:rPr>
          <w:sz w:val="24"/>
          <w:szCs w:val="24"/>
        </w:rPr>
      </w:pPr>
      <w:r>
        <w:rPr>
          <w:rFonts w:hint="eastAsia"/>
          <w:sz w:val="24"/>
          <w:szCs w:val="24"/>
        </w:rPr>
        <w:t>2.3.5绩效考核结果告知员工本人。</w:t>
      </w:r>
    </w:p>
    <w:p>
      <w:pPr>
        <w:spacing w:line="360" w:lineRule="auto"/>
        <w:ind w:firstLine="480" w:firstLineChars="200"/>
        <w:rPr>
          <w:sz w:val="24"/>
          <w:szCs w:val="24"/>
        </w:rPr>
      </w:pPr>
      <w:r>
        <w:rPr>
          <w:rFonts w:hint="eastAsia"/>
          <w:sz w:val="24"/>
          <w:szCs w:val="24"/>
        </w:rPr>
        <w:t>2.4绩效考核的方法</w:t>
      </w:r>
    </w:p>
    <w:p>
      <w:pPr>
        <w:spacing w:line="360" w:lineRule="auto"/>
        <w:ind w:firstLine="480" w:firstLineChars="200"/>
        <w:rPr>
          <w:sz w:val="24"/>
          <w:szCs w:val="24"/>
        </w:rPr>
      </w:pPr>
      <w:r>
        <w:rPr>
          <w:rFonts w:hint="eastAsia"/>
          <w:sz w:val="24"/>
          <w:szCs w:val="24"/>
        </w:rPr>
        <w:t>2.4.1由上级考核、同事民主测评和自我评估3部分组成，实行360度考核。其中上级考核占50%；同事民主测评占30%；自我评估占20%；</w:t>
      </w:r>
    </w:p>
    <w:p>
      <w:pPr>
        <w:spacing w:line="360" w:lineRule="auto"/>
        <w:ind w:firstLine="480" w:firstLineChars="200"/>
        <w:rPr>
          <w:sz w:val="24"/>
          <w:szCs w:val="24"/>
        </w:rPr>
      </w:pPr>
      <w:r>
        <w:rPr>
          <w:rFonts w:hint="eastAsia"/>
          <w:sz w:val="24"/>
          <w:szCs w:val="24"/>
        </w:rPr>
        <w:t>2.5 绩效考核的内容</w:t>
      </w:r>
    </w:p>
    <w:p>
      <w:pPr>
        <w:spacing w:line="360" w:lineRule="auto"/>
        <w:ind w:firstLine="480" w:firstLineChars="200"/>
        <w:rPr>
          <w:sz w:val="24"/>
          <w:szCs w:val="24"/>
        </w:rPr>
      </w:pPr>
      <w:r>
        <w:rPr>
          <w:rFonts w:hint="eastAsia"/>
          <w:sz w:val="24"/>
          <w:szCs w:val="24"/>
        </w:rPr>
        <w:t>2.5.1重点工作业绩，指列入本基金会工作计划的各项任务的执行结果；</w:t>
      </w:r>
    </w:p>
    <w:p>
      <w:pPr>
        <w:spacing w:line="360" w:lineRule="auto"/>
        <w:ind w:firstLine="480" w:firstLineChars="200"/>
        <w:rPr>
          <w:sz w:val="24"/>
          <w:szCs w:val="24"/>
        </w:rPr>
      </w:pPr>
      <w:r>
        <w:rPr>
          <w:rFonts w:hint="eastAsia"/>
          <w:sz w:val="24"/>
          <w:szCs w:val="24"/>
        </w:rPr>
        <w:t>2.5.2基础工作业绩，指根据本基金会各部门所描述职能职责要求完成的基础工作的执行结果；</w:t>
      </w:r>
    </w:p>
    <w:p>
      <w:pPr>
        <w:spacing w:line="360" w:lineRule="auto"/>
        <w:ind w:firstLine="480" w:firstLineChars="200"/>
        <w:rPr>
          <w:sz w:val="24"/>
          <w:szCs w:val="24"/>
        </w:rPr>
      </w:pPr>
      <w:r>
        <w:rPr>
          <w:rFonts w:hint="eastAsia"/>
          <w:sz w:val="24"/>
          <w:szCs w:val="24"/>
        </w:rPr>
        <w:t>2.5.3内部沟通协作，指在部门内部合作、跨部门合作中的态度和表现，以及在沟通协作方面所采取的具体措施、所建立的制度机制；</w:t>
      </w:r>
    </w:p>
    <w:p>
      <w:pPr>
        <w:spacing w:line="360" w:lineRule="auto"/>
        <w:ind w:firstLine="480" w:firstLineChars="200"/>
        <w:rPr>
          <w:sz w:val="24"/>
          <w:szCs w:val="24"/>
        </w:rPr>
      </w:pPr>
      <w:r>
        <w:rPr>
          <w:rFonts w:hint="eastAsia"/>
          <w:sz w:val="24"/>
          <w:szCs w:val="24"/>
        </w:rPr>
        <w:t>2.5.4创新成果，指通过采用新思路、新方法、新技术在工作中取得创新性成果，以及新的项目设计和制度设计被采纳，为机构发展做出贡献。</w:t>
      </w:r>
    </w:p>
    <w:p>
      <w:pPr>
        <w:spacing w:line="360" w:lineRule="auto"/>
        <w:ind w:firstLine="480" w:firstLineChars="200"/>
        <w:rPr>
          <w:sz w:val="24"/>
          <w:szCs w:val="24"/>
        </w:rPr>
      </w:pPr>
      <w:r>
        <w:rPr>
          <w:rFonts w:hint="eastAsia"/>
          <w:sz w:val="24"/>
          <w:szCs w:val="24"/>
        </w:rPr>
        <w:t>2.5.5胜任能力，指公益理念和价值观、职业素养、专业能力、执行或管理能力、个人发展潜力。</w:t>
      </w:r>
    </w:p>
    <w:p>
      <w:pPr>
        <w:spacing w:line="360" w:lineRule="auto"/>
        <w:ind w:firstLine="480" w:firstLineChars="200"/>
        <w:rPr>
          <w:sz w:val="24"/>
          <w:szCs w:val="24"/>
        </w:rPr>
      </w:pPr>
      <w:r>
        <w:rPr>
          <w:rFonts w:hint="eastAsia"/>
          <w:sz w:val="24"/>
          <w:szCs w:val="24"/>
        </w:rPr>
        <w:t>2.6绩效考核时间</w:t>
      </w:r>
    </w:p>
    <w:p>
      <w:pPr>
        <w:spacing w:line="360" w:lineRule="auto"/>
        <w:ind w:firstLine="480" w:firstLineChars="200"/>
        <w:rPr>
          <w:sz w:val="24"/>
          <w:szCs w:val="24"/>
        </w:rPr>
      </w:pPr>
      <w:r>
        <w:rPr>
          <w:rFonts w:hint="eastAsia"/>
          <w:sz w:val="24"/>
          <w:szCs w:val="24"/>
        </w:rPr>
        <w:t>2.6.1每年考核两次，即半年考核及年终考核。</w:t>
      </w:r>
    </w:p>
    <w:p>
      <w:pPr>
        <w:spacing w:line="360" w:lineRule="auto"/>
        <w:ind w:firstLine="480" w:firstLineChars="200"/>
        <w:rPr>
          <w:sz w:val="24"/>
          <w:szCs w:val="24"/>
        </w:rPr>
      </w:pPr>
      <w:r>
        <w:rPr>
          <w:rFonts w:hint="eastAsia"/>
          <w:sz w:val="24"/>
          <w:szCs w:val="24"/>
        </w:rPr>
        <w:t>2.7 绩效考核</w:t>
      </w:r>
    </w:p>
    <w:p>
      <w:pPr>
        <w:spacing w:line="360" w:lineRule="auto"/>
        <w:ind w:firstLine="480" w:firstLineChars="200"/>
        <w:rPr>
          <w:sz w:val="24"/>
          <w:szCs w:val="24"/>
        </w:rPr>
      </w:pPr>
      <w:r>
        <w:rPr>
          <w:rFonts w:hint="eastAsia"/>
          <w:sz w:val="24"/>
          <w:szCs w:val="24"/>
        </w:rPr>
        <w:t>每年年终考核后，基金会事事长或秘书长与每位同事进行一次总结谈话，提出期望与建议，商讨个人下一步发展方向和计划。</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 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r>
        <w:rPr>
          <w:sz w:val="24"/>
          <w:szCs w:val="24"/>
        </w:rPr>
        <w:t xml:space="preserve"> </w:t>
      </w:r>
    </w:p>
    <w:p>
      <w:pPr>
        <w:spacing w:before="156" w:beforeLines="50" w:after="156" w:afterLines="50" w:line="360" w:lineRule="auto"/>
        <w:jc w:val="center"/>
        <w:outlineLvl w:val="1"/>
        <w:rPr>
          <w:rFonts w:hint="eastAsia" w:ascii="黑体" w:hAnsi="黑体" w:eastAsia="黑体"/>
          <w:b/>
          <w:sz w:val="32"/>
          <w:szCs w:val="32"/>
        </w:rPr>
      </w:pPr>
      <w:bookmarkStart w:id="42" w:name="_Toc403829195"/>
    </w:p>
    <w:p>
      <w:pPr>
        <w:spacing w:before="156" w:beforeLines="50" w:after="156" w:afterLines="50" w:line="360" w:lineRule="auto"/>
        <w:jc w:val="center"/>
        <w:outlineLvl w:val="1"/>
        <w:rPr>
          <w:rFonts w:hint="eastAsia" w:ascii="黑体" w:hAnsi="黑体" w:eastAsia="黑体"/>
          <w:b/>
          <w:sz w:val="32"/>
          <w:szCs w:val="32"/>
        </w:rPr>
      </w:pPr>
    </w:p>
    <w:p>
      <w:pPr>
        <w:spacing w:before="156" w:beforeLines="50" w:after="156" w:afterLines="50" w:line="360" w:lineRule="auto"/>
        <w:jc w:val="center"/>
        <w:outlineLvl w:val="1"/>
        <w:rPr>
          <w:rFonts w:ascii="黑体" w:hAnsi="黑体" w:eastAsia="黑体"/>
          <w:b/>
          <w:sz w:val="32"/>
          <w:szCs w:val="32"/>
        </w:rPr>
      </w:pPr>
      <w:bookmarkStart w:id="43" w:name="_Toc25679"/>
      <w:r>
        <w:rPr>
          <w:rFonts w:hint="eastAsia" w:ascii="黑体" w:hAnsi="黑体" w:eastAsia="黑体"/>
          <w:b/>
          <w:sz w:val="32"/>
          <w:szCs w:val="32"/>
        </w:rPr>
        <w:t>二十</w:t>
      </w:r>
      <w:r>
        <w:rPr>
          <w:rFonts w:hint="eastAsia" w:ascii="黑体" w:hAnsi="黑体" w:eastAsia="黑体"/>
          <w:b/>
          <w:sz w:val="32"/>
          <w:szCs w:val="32"/>
          <w:lang w:val="en-US" w:eastAsia="zh-CN"/>
        </w:rPr>
        <w:t>三</w:t>
      </w:r>
      <w:r>
        <w:rPr>
          <w:rFonts w:hint="eastAsia" w:ascii="黑体" w:hAnsi="黑体" w:eastAsia="黑体"/>
          <w:b/>
          <w:sz w:val="32"/>
          <w:szCs w:val="32"/>
        </w:rPr>
        <w:t xml:space="preserve"> </w:t>
      </w:r>
      <w:r>
        <w:rPr>
          <w:rFonts w:hint="eastAsia" w:ascii="黑体" w:hAnsi="黑体" w:eastAsia="黑体"/>
          <w:b/>
          <w:sz w:val="32"/>
          <w:szCs w:val="32"/>
          <w:lang w:eastAsia="zh-CN"/>
        </w:rPr>
        <w:t>北京天地文化发展</w:t>
      </w:r>
      <w:r>
        <w:rPr>
          <w:rFonts w:hint="eastAsia" w:ascii="黑体" w:hAnsi="黑体" w:eastAsia="黑体"/>
          <w:b/>
          <w:sz w:val="32"/>
          <w:szCs w:val="32"/>
        </w:rPr>
        <w:t>基金会考勤与请假管理制度</w:t>
      </w:r>
      <w:bookmarkEnd w:id="42"/>
      <w:bookmarkEnd w:id="43"/>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 为规范</w:t>
      </w:r>
      <w:r>
        <w:rPr>
          <w:rFonts w:hint="eastAsia"/>
          <w:sz w:val="24"/>
          <w:szCs w:val="24"/>
          <w:lang w:eastAsia="zh-CN"/>
        </w:rPr>
        <w:t>北京天地文化发展</w:t>
      </w:r>
      <w:r>
        <w:rPr>
          <w:rFonts w:hint="eastAsia"/>
          <w:sz w:val="24"/>
          <w:szCs w:val="24"/>
        </w:rPr>
        <w:t>基金会（以下简称“本基金会”）的考勤及请假，特制定本制度。</w:t>
      </w:r>
    </w:p>
    <w:p>
      <w:pPr>
        <w:spacing w:line="360" w:lineRule="auto"/>
        <w:ind w:firstLine="480" w:firstLineChars="200"/>
        <w:rPr>
          <w:sz w:val="24"/>
          <w:szCs w:val="24"/>
        </w:rPr>
      </w:pPr>
      <w:r>
        <w:rPr>
          <w:rFonts w:hint="eastAsia"/>
          <w:sz w:val="24"/>
          <w:szCs w:val="24"/>
        </w:rPr>
        <w:t>1.2本基金会员工的考勤及请假事项除国家有关规定外，皆按本管理制度办理。</w:t>
      </w:r>
    </w:p>
    <w:p>
      <w:pPr>
        <w:spacing w:line="360" w:lineRule="auto"/>
        <w:ind w:firstLine="480" w:firstLineChars="200"/>
        <w:rPr>
          <w:sz w:val="24"/>
          <w:szCs w:val="24"/>
        </w:rPr>
      </w:pPr>
      <w:r>
        <w:rPr>
          <w:rFonts w:hint="eastAsia"/>
          <w:sz w:val="24"/>
          <w:szCs w:val="24"/>
        </w:rPr>
        <w:t>1.3</w:t>
      </w:r>
      <w:r>
        <w:rPr>
          <w:rFonts w:hint="eastAsia"/>
          <w:sz w:val="24"/>
          <w:szCs w:val="24"/>
        </w:rPr>
        <w:tab/>
      </w:r>
      <w:r>
        <w:rPr>
          <w:rFonts w:hint="eastAsia"/>
          <w:sz w:val="24"/>
          <w:szCs w:val="24"/>
        </w:rPr>
        <w:t>本管理制度适用于本基金会全体员工。</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2．考勤</w:t>
      </w:r>
    </w:p>
    <w:p>
      <w:pPr>
        <w:spacing w:line="360" w:lineRule="auto"/>
        <w:ind w:firstLine="480" w:firstLineChars="200"/>
        <w:rPr>
          <w:sz w:val="24"/>
          <w:szCs w:val="24"/>
        </w:rPr>
      </w:pPr>
      <w:r>
        <w:rPr>
          <w:rFonts w:hint="eastAsia"/>
          <w:sz w:val="24"/>
          <w:szCs w:val="24"/>
        </w:rPr>
        <w:t>2.1 基金会标准工作时间为周一至周五，并享有国家规定的法定节假日；</w:t>
      </w:r>
    </w:p>
    <w:p>
      <w:pPr>
        <w:spacing w:line="360" w:lineRule="auto"/>
        <w:ind w:firstLine="480" w:firstLineChars="200"/>
        <w:rPr>
          <w:sz w:val="24"/>
          <w:szCs w:val="24"/>
        </w:rPr>
      </w:pPr>
      <w:r>
        <w:rPr>
          <w:rFonts w:hint="eastAsia"/>
          <w:sz w:val="24"/>
          <w:szCs w:val="24"/>
        </w:rPr>
        <w:t>2.2 基金会每日工作时间为: 上午9:30至下午5:30，中午休息一小时；</w:t>
      </w:r>
    </w:p>
    <w:p>
      <w:pPr>
        <w:spacing w:line="360" w:lineRule="auto"/>
        <w:ind w:firstLine="480" w:firstLineChars="200"/>
        <w:rPr>
          <w:sz w:val="24"/>
          <w:szCs w:val="24"/>
        </w:rPr>
      </w:pPr>
      <w:r>
        <w:rPr>
          <w:rFonts w:hint="eastAsia"/>
          <w:sz w:val="24"/>
          <w:szCs w:val="24"/>
        </w:rPr>
        <w:t>2.3 因国家规定变更或有特殊情况时，基金会可对工作时间进行适当的调整；</w:t>
      </w:r>
    </w:p>
    <w:p>
      <w:pPr>
        <w:spacing w:line="360" w:lineRule="auto"/>
        <w:ind w:firstLine="480" w:firstLineChars="200"/>
        <w:rPr>
          <w:sz w:val="24"/>
          <w:szCs w:val="24"/>
        </w:rPr>
      </w:pPr>
      <w:r>
        <w:rPr>
          <w:rFonts w:hint="eastAsia"/>
          <w:sz w:val="24"/>
          <w:szCs w:val="24"/>
        </w:rPr>
        <w:t>2.4 基金会实行上下班签到/签退制度，上班期间因公事外出者，必须向主管领导提出外出口头申请，经同意后方可离开基金会。原则上员工须先到基金会报到后，方能外出办理各项业务；</w:t>
      </w:r>
    </w:p>
    <w:p>
      <w:pPr>
        <w:spacing w:line="360" w:lineRule="auto"/>
        <w:ind w:firstLine="480" w:firstLineChars="200"/>
        <w:rPr>
          <w:sz w:val="24"/>
          <w:szCs w:val="24"/>
        </w:rPr>
      </w:pPr>
      <w:r>
        <w:rPr>
          <w:rFonts w:hint="eastAsia"/>
          <w:sz w:val="24"/>
          <w:szCs w:val="24"/>
        </w:rPr>
        <w:t>2.5 在上班时间开始后30分钟内到岗者，计为迟到；迟到超过30分钟以上2小时以内者按旷工半天处理； 超过2小时者计旷工一天；</w:t>
      </w:r>
    </w:p>
    <w:p>
      <w:pPr>
        <w:spacing w:line="360" w:lineRule="auto"/>
        <w:ind w:firstLine="480" w:firstLineChars="200"/>
        <w:rPr>
          <w:sz w:val="24"/>
          <w:szCs w:val="24"/>
        </w:rPr>
      </w:pPr>
      <w:r>
        <w:rPr>
          <w:rFonts w:hint="eastAsia"/>
          <w:sz w:val="24"/>
          <w:szCs w:val="24"/>
        </w:rPr>
        <w:t>2.6 在下班时间前30分钟内擅自离岗者，计为早退；早退超过30分钟以上2小时以内者按旷工半天处理； 超过2小时按旷工一天处理。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 公休管理</w:t>
      </w:r>
    </w:p>
    <w:p>
      <w:pPr>
        <w:spacing w:line="360" w:lineRule="auto"/>
        <w:ind w:firstLine="480" w:firstLineChars="200"/>
        <w:rPr>
          <w:sz w:val="24"/>
          <w:szCs w:val="24"/>
        </w:rPr>
      </w:pPr>
      <w:r>
        <w:rPr>
          <w:rFonts w:hint="eastAsia"/>
          <w:sz w:val="24"/>
          <w:szCs w:val="24"/>
        </w:rPr>
        <w:t>3.1 基金会实行周六、周日双休制，元旦、春节、清明节、劳动节、端午节、中秋节、国庆节等法定节日按照国家相关规定执行。</w:t>
      </w:r>
    </w:p>
    <w:p>
      <w:pPr>
        <w:spacing w:line="360" w:lineRule="auto"/>
        <w:ind w:firstLine="480" w:firstLineChars="200"/>
        <w:rPr>
          <w:sz w:val="24"/>
          <w:szCs w:val="24"/>
        </w:rPr>
      </w:pPr>
      <w:r>
        <w:rPr>
          <w:rFonts w:hint="eastAsia"/>
          <w:sz w:val="24"/>
          <w:szCs w:val="24"/>
        </w:rPr>
        <w:t>3.2 以下情况按公休处理，但需履行正常的请假手续：</w:t>
      </w:r>
    </w:p>
    <w:p>
      <w:pPr>
        <w:spacing w:line="360" w:lineRule="auto"/>
        <w:ind w:firstLine="480" w:firstLineChars="200"/>
        <w:rPr>
          <w:sz w:val="24"/>
          <w:szCs w:val="24"/>
        </w:rPr>
      </w:pPr>
      <w:r>
        <w:rPr>
          <w:rFonts w:hint="eastAsia"/>
          <w:sz w:val="24"/>
          <w:szCs w:val="24"/>
        </w:rPr>
        <w:t>3.2.1 员工因公受伤，经医院诊断需要休假的；</w:t>
      </w:r>
    </w:p>
    <w:p>
      <w:pPr>
        <w:spacing w:line="360" w:lineRule="auto"/>
        <w:ind w:firstLine="480" w:firstLineChars="200"/>
        <w:rPr>
          <w:sz w:val="24"/>
          <w:szCs w:val="24"/>
        </w:rPr>
      </w:pPr>
      <w:r>
        <w:rPr>
          <w:rFonts w:hint="eastAsia"/>
          <w:sz w:val="24"/>
          <w:szCs w:val="24"/>
        </w:rPr>
        <w:t>3.2.2 被基金会实行强制休假的；</w:t>
      </w:r>
    </w:p>
    <w:p>
      <w:pPr>
        <w:spacing w:line="360" w:lineRule="auto"/>
        <w:ind w:firstLine="480" w:firstLineChars="200"/>
        <w:rPr>
          <w:sz w:val="24"/>
          <w:szCs w:val="24"/>
        </w:rPr>
      </w:pPr>
      <w:r>
        <w:rPr>
          <w:rFonts w:hint="eastAsia"/>
          <w:sz w:val="24"/>
          <w:szCs w:val="24"/>
        </w:rPr>
        <w:t>3.2.3 员工婚前、产前检查及教育及为其独生子女定期检查，参加子女家长会的，可给公休半天。</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4．法定有薪休假</w:t>
      </w:r>
    </w:p>
    <w:p>
      <w:pPr>
        <w:spacing w:line="360" w:lineRule="auto"/>
        <w:ind w:firstLine="482" w:firstLineChars="200"/>
        <w:rPr>
          <w:b/>
          <w:sz w:val="24"/>
          <w:szCs w:val="24"/>
        </w:rPr>
      </w:pPr>
      <w:r>
        <w:rPr>
          <w:rFonts w:hint="eastAsia"/>
          <w:b/>
          <w:sz w:val="24"/>
          <w:szCs w:val="24"/>
        </w:rPr>
        <w:t>4.1 年假</w:t>
      </w:r>
    </w:p>
    <w:p>
      <w:pPr>
        <w:spacing w:line="360" w:lineRule="auto"/>
        <w:ind w:firstLine="480" w:firstLineChars="200"/>
        <w:rPr>
          <w:sz w:val="24"/>
          <w:szCs w:val="24"/>
        </w:rPr>
      </w:pPr>
      <w:r>
        <w:rPr>
          <w:rFonts w:hint="eastAsia"/>
          <w:sz w:val="24"/>
          <w:szCs w:val="24"/>
        </w:rPr>
        <w:t>4.1.1 员工的带薪年假按规定执行，以工作日计算。试用期计算年假，但员工入职6个月后（含试用期）方可休年假；</w:t>
      </w:r>
    </w:p>
    <w:p>
      <w:pPr>
        <w:spacing w:line="360" w:lineRule="auto"/>
        <w:ind w:firstLine="480" w:firstLineChars="200"/>
        <w:rPr>
          <w:sz w:val="24"/>
          <w:szCs w:val="24"/>
        </w:rPr>
      </w:pPr>
      <w:r>
        <w:rPr>
          <w:rFonts w:hint="eastAsia"/>
          <w:sz w:val="24"/>
          <w:szCs w:val="24"/>
        </w:rPr>
        <w:t>4.1.2 员工休假需与部门领导协商并至少提前一周申请，以免影响正常工作安排或其他工作衔接，部门领导可根据具体情况判断是否批准该员工休假申请；</w:t>
      </w:r>
    </w:p>
    <w:p>
      <w:pPr>
        <w:spacing w:line="360" w:lineRule="auto"/>
        <w:ind w:firstLine="480" w:firstLineChars="200"/>
        <w:rPr>
          <w:sz w:val="24"/>
          <w:szCs w:val="24"/>
        </w:rPr>
      </w:pPr>
      <w:r>
        <w:rPr>
          <w:rFonts w:hint="eastAsia"/>
          <w:sz w:val="24"/>
          <w:szCs w:val="24"/>
        </w:rPr>
        <w:t>4.1.3年假不能跨年度累积，一般在当年的12月31日前休完，由于特殊原因，经秘书长批准，原则上须于次年3月31日前休完；</w:t>
      </w:r>
    </w:p>
    <w:p>
      <w:pPr>
        <w:spacing w:line="360" w:lineRule="auto"/>
        <w:ind w:firstLine="480" w:firstLineChars="200"/>
        <w:rPr>
          <w:sz w:val="24"/>
          <w:szCs w:val="24"/>
        </w:rPr>
      </w:pPr>
      <w:r>
        <w:rPr>
          <w:rFonts w:hint="eastAsia"/>
          <w:sz w:val="24"/>
          <w:szCs w:val="24"/>
        </w:rPr>
        <w:t>4.1.4各部门年底须及时统计员工本年度未使用的年假及延期申请，并向综合管理部报备，部门负责人掌握员工年假使用情况以做工作任务及人员的合理调配或年假安排；</w:t>
      </w:r>
    </w:p>
    <w:p>
      <w:pPr>
        <w:spacing w:line="360" w:lineRule="auto"/>
        <w:ind w:firstLine="480" w:firstLineChars="200"/>
        <w:rPr>
          <w:sz w:val="24"/>
          <w:szCs w:val="24"/>
        </w:rPr>
      </w:pPr>
      <w:r>
        <w:rPr>
          <w:rFonts w:hint="eastAsia"/>
          <w:sz w:val="24"/>
          <w:szCs w:val="24"/>
        </w:rPr>
        <w:t>4.1.5在12月31日前未满试用期的新员工，其应享有的年假可被自动转入下一年度；</w:t>
      </w:r>
    </w:p>
    <w:p>
      <w:pPr>
        <w:spacing w:line="360" w:lineRule="auto"/>
        <w:ind w:firstLine="480" w:firstLineChars="200"/>
        <w:rPr>
          <w:sz w:val="24"/>
          <w:szCs w:val="24"/>
        </w:rPr>
      </w:pPr>
      <w:r>
        <w:rPr>
          <w:rFonts w:hint="eastAsia"/>
          <w:sz w:val="24"/>
          <w:szCs w:val="24"/>
        </w:rPr>
        <w:t>4.1.6劳动合同终止或解除时，未休的年假需在交接工作完成后，经部门负责人同意方可使用，如带薪年假无法休完，机构以薪金代替该员工当年应休而未休的剩余年假；</w:t>
      </w:r>
    </w:p>
    <w:p>
      <w:pPr>
        <w:spacing w:line="360" w:lineRule="auto"/>
        <w:ind w:firstLine="480" w:firstLineChars="200"/>
        <w:rPr>
          <w:sz w:val="24"/>
          <w:szCs w:val="24"/>
        </w:rPr>
      </w:pPr>
      <w:r>
        <w:rPr>
          <w:rFonts w:hint="eastAsia"/>
          <w:sz w:val="24"/>
          <w:szCs w:val="24"/>
        </w:rPr>
        <w:t>4.1.7 以下情况，不享有当年年假：（参照国务院令-《职工带薪年休假条例》）累计工作满1 年不满10 年的职工，休病假或事假累计2 个月以上的；累计工作满10 年不满20 年的职工，休病假或事假累计3 个月以上的；累计工作满20 年以上的职工，休病假或事假4 个月以上的。</w:t>
      </w:r>
    </w:p>
    <w:p>
      <w:pPr>
        <w:spacing w:line="360" w:lineRule="auto"/>
        <w:ind w:firstLine="482" w:firstLineChars="200"/>
        <w:rPr>
          <w:b/>
          <w:sz w:val="24"/>
          <w:szCs w:val="24"/>
        </w:rPr>
      </w:pPr>
      <w:r>
        <w:rPr>
          <w:rFonts w:hint="eastAsia"/>
          <w:b/>
          <w:sz w:val="24"/>
          <w:szCs w:val="24"/>
        </w:rPr>
        <w:t>4.2 婚假</w:t>
      </w:r>
    </w:p>
    <w:p>
      <w:pPr>
        <w:spacing w:line="360" w:lineRule="auto"/>
        <w:ind w:firstLine="480" w:firstLineChars="200"/>
        <w:rPr>
          <w:sz w:val="24"/>
          <w:szCs w:val="24"/>
        </w:rPr>
      </w:pPr>
      <w:r>
        <w:rPr>
          <w:rFonts w:hint="eastAsia"/>
          <w:sz w:val="24"/>
          <w:szCs w:val="24"/>
        </w:rPr>
        <w:t>4.2.1根据国家和地方有关法规，员工婚假为三个日历日，晚婚（以初婚计，男25 岁以上，女23 岁以上）者另加10天假期；</w:t>
      </w:r>
    </w:p>
    <w:p>
      <w:pPr>
        <w:spacing w:line="360" w:lineRule="auto"/>
        <w:ind w:firstLine="480" w:firstLineChars="200"/>
        <w:rPr>
          <w:sz w:val="24"/>
          <w:szCs w:val="24"/>
        </w:rPr>
      </w:pPr>
      <w:r>
        <w:rPr>
          <w:rFonts w:hint="eastAsia"/>
          <w:sz w:val="24"/>
          <w:szCs w:val="24"/>
        </w:rPr>
        <w:t>4.2.2 婚假应在办理结婚登记手续后1年内一次性休完，逾期不补；</w:t>
      </w:r>
    </w:p>
    <w:p>
      <w:pPr>
        <w:spacing w:line="360" w:lineRule="auto"/>
        <w:ind w:firstLine="480" w:firstLineChars="200"/>
        <w:rPr>
          <w:sz w:val="24"/>
          <w:szCs w:val="24"/>
        </w:rPr>
      </w:pPr>
      <w:r>
        <w:rPr>
          <w:rFonts w:hint="eastAsia"/>
          <w:sz w:val="24"/>
          <w:szCs w:val="24"/>
        </w:rPr>
        <w:t>4.2.3 在机构工作期间办理结婚登记手续的员工才可在本机构享受婚假；</w:t>
      </w:r>
    </w:p>
    <w:p>
      <w:pPr>
        <w:spacing w:line="360" w:lineRule="auto"/>
        <w:ind w:firstLine="480" w:firstLineChars="200"/>
        <w:rPr>
          <w:sz w:val="24"/>
          <w:szCs w:val="24"/>
        </w:rPr>
      </w:pPr>
      <w:r>
        <w:rPr>
          <w:rFonts w:hint="eastAsia"/>
          <w:sz w:val="24"/>
          <w:szCs w:val="24"/>
        </w:rPr>
        <w:t>4.2.4 员工申请婚假时，必须提供结婚证书。</w:t>
      </w:r>
    </w:p>
    <w:p>
      <w:pPr>
        <w:spacing w:line="360" w:lineRule="auto"/>
        <w:ind w:firstLine="482" w:firstLineChars="200"/>
        <w:rPr>
          <w:b/>
          <w:sz w:val="24"/>
          <w:szCs w:val="24"/>
        </w:rPr>
      </w:pPr>
      <w:r>
        <w:rPr>
          <w:rFonts w:hint="eastAsia"/>
          <w:b/>
          <w:sz w:val="24"/>
          <w:szCs w:val="24"/>
        </w:rPr>
        <w:t>4.3 产假</w:t>
      </w:r>
    </w:p>
    <w:p>
      <w:pPr>
        <w:spacing w:line="360" w:lineRule="auto"/>
        <w:ind w:firstLine="480" w:firstLineChars="200"/>
        <w:rPr>
          <w:sz w:val="24"/>
          <w:szCs w:val="24"/>
        </w:rPr>
      </w:pPr>
      <w:r>
        <w:rPr>
          <w:rFonts w:hint="eastAsia"/>
          <w:sz w:val="24"/>
          <w:szCs w:val="24"/>
        </w:rPr>
        <w:t>4.3.1 依据国家颁布的《女职工劳动保护》法规，女员工生育可享受90天(日历日)产假；难产的增加产假30天。实行晚育的女员工，可增加产假15天。办理《独生子女优待证》的，另增加产假35天。多胞胎生育的，每多生育一个婴儿增加产假15 天；</w:t>
      </w:r>
    </w:p>
    <w:p>
      <w:pPr>
        <w:spacing w:line="360" w:lineRule="auto"/>
        <w:ind w:firstLine="480" w:firstLineChars="200"/>
        <w:rPr>
          <w:sz w:val="24"/>
          <w:szCs w:val="24"/>
        </w:rPr>
      </w:pPr>
      <w:r>
        <w:rPr>
          <w:rFonts w:hint="eastAsia"/>
          <w:sz w:val="24"/>
          <w:szCs w:val="24"/>
        </w:rPr>
        <w:t>4.3.2 因各地城市生育保险政策略有差异，休产假天数参考员工工作所在城市生育保险为依据（含国家法定节假日及公休日）；</w:t>
      </w:r>
    </w:p>
    <w:p>
      <w:pPr>
        <w:spacing w:line="360" w:lineRule="auto"/>
        <w:ind w:firstLine="480" w:firstLineChars="200"/>
        <w:rPr>
          <w:sz w:val="24"/>
          <w:szCs w:val="24"/>
        </w:rPr>
      </w:pPr>
      <w:r>
        <w:rPr>
          <w:rFonts w:hint="eastAsia"/>
          <w:sz w:val="24"/>
          <w:szCs w:val="24"/>
        </w:rPr>
        <w:t>4.3.3 员工怀孕1~7 个月，每月可有1 次带薪产检假（每次不超过1 个工作日），女员工怀孕8~9 个月，每月可有2 次带薪产检假（每次不超过2 个工作日）；</w:t>
      </w:r>
    </w:p>
    <w:p>
      <w:pPr>
        <w:spacing w:line="360" w:lineRule="auto"/>
        <w:ind w:firstLine="480" w:firstLineChars="200"/>
        <w:rPr>
          <w:sz w:val="24"/>
          <w:szCs w:val="24"/>
        </w:rPr>
      </w:pPr>
      <w:r>
        <w:rPr>
          <w:rFonts w:hint="eastAsia"/>
          <w:sz w:val="24"/>
          <w:szCs w:val="24"/>
        </w:rPr>
        <w:t>4.3.4 员工怀孕7个月以上（含1个月），每天可享受工间多休息一小时；</w:t>
      </w:r>
    </w:p>
    <w:p>
      <w:pPr>
        <w:spacing w:line="360" w:lineRule="auto"/>
        <w:ind w:firstLine="480" w:firstLineChars="200"/>
        <w:rPr>
          <w:sz w:val="24"/>
          <w:szCs w:val="24"/>
        </w:rPr>
      </w:pPr>
      <w:r>
        <w:rPr>
          <w:rFonts w:hint="eastAsia"/>
          <w:sz w:val="24"/>
          <w:szCs w:val="24"/>
        </w:rPr>
        <w:t>4.3.5 女员工因故终止妊娠，可以按照国家相关规定休产假，同时提供医院证明；</w:t>
      </w:r>
    </w:p>
    <w:p>
      <w:pPr>
        <w:spacing w:line="360" w:lineRule="auto"/>
        <w:ind w:firstLine="480" w:firstLineChars="200"/>
        <w:rPr>
          <w:sz w:val="24"/>
          <w:szCs w:val="24"/>
        </w:rPr>
      </w:pPr>
      <w:r>
        <w:rPr>
          <w:rFonts w:hint="eastAsia"/>
          <w:sz w:val="24"/>
          <w:szCs w:val="24"/>
        </w:rPr>
        <w:t>4.3.6 女员工怀孕不满4 个月中止妊娠，提交社保定点医院诊断证明，享有15~30 天流产假；怀孕4 个月以上中止妊娠，根据医院诊断证明享有42 天流产假。</w:t>
      </w:r>
    </w:p>
    <w:p>
      <w:pPr>
        <w:spacing w:line="360" w:lineRule="auto"/>
        <w:ind w:firstLine="482" w:firstLineChars="200"/>
        <w:rPr>
          <w:b/>
          <w:sz w:val="24"/>
          <w:szCs w:val="24"/>
        </w:rPr>
      </w:pPr>
      <w:r>
        <w:rPr>
          <w:rFonts w:hint="eastAsia"/>
          <w:b/>
          <w:sz w:val="24"/>
          <w:szCs w:val="24"/>
        </w:rPr>
        <w:t>4.4 看护假</w:t>
      </w:r>
    </w:p>
    <w:p>
      <w:pPr>
        <w:spacing w:line="360" w:lineRule="auto"/>
        <w:ind w:firstLine="480" w:firstLineChars="200"/>
        <w:rPr>
          <w:sz w:val="24"/>
          <w:szCs w:val="24"/>
        </w:rPr>
      </w:pPr>
      <w:r>
        <w:rPr>
          <w:rFonts w:hint="eastAsia"/>
          <w:sz w:val="24"/>
          <w:szCs w:val="24"/>
        </w:rPr>
        <w:t>4.4.1男员工符合有关计划生育规定的，可在配偶产假期间(应在孩子出生1 个月内)获得10 个日历日的有薪看护假；</w:t>
      </w:r>
    </w:p>
    <w:p>
      <w:pPr>
        <w:spacing w:line="360" w:lineRule="auto"/>
        <w:ind w:firstLine="480" w:firstLineChars="200"/>
        <w:rPr>
          <w:sz w:val="24"/>
          <w:szCs w:val="24"/>
        </w:rPr>
      </w:pPr>
      <w:r>
        <w:rPr>
          <w:rFonts w:hint="eastAsia"/>
          <w:sz w:val="24"/>
          <w:szCs w:val="24"/>
        </w:rPr>
        <w:t>4.4.2男员工的小孩出生时间在入职之后的，才可在本机构享受看护假；</w:t>
      </w:r>
    </w:p>
    <w:p>
      <w:pPr>
        <w:spacing w:line="360" w:lineRule="auto"/>
        <w:ind w:firstLine="480" w:firstLineChars="200"/>
        <w:rPr>
          <w:sz w:val="24"/>
          <w:szCs w:val="24"/>
        </w:rPr>
      </w:pPr>
      <w:r>
        <w:rPr>
          <w:rFonts w:hint="eastAsia"/>
          <w:sz w:val="24"/>
          <w:szCs w:val="24"/>
        </w:rPr>
        <w:t>4.4.3员工必须在休假后一个月内呈交小孩的《出生证明》及《独生子女优待证》予人力资源部核对和复印。否则，其休假视作事假处理；</w:t>
      </w:r>
    </w:p>
    <w:p>
      <w:pPr>
        <w:spacing w:line="360" w:lineRule="auto"/>
        <w:ind w:firstLine="480" w:firstLineChars="200"/>
        <w:rPr>
          <w:sz w:val="24"/>
          <w:szCs w:val="24"/>
        </w:rPr>
      </w:pPr>
      <w:r>
        <w:rPr>
          <w:rFonts w:hint="eastAsia"/>
          <w:sz w:val="24"/>
          <w:szCs w:val="24"/>
        </w:rPr>
        <w:t>4.4.4初胎为双胞胎或多胞胎时，男员工也可同等享受上述看护假；</w:t>
      </w:r>
    </w:p>
    <w:p>
      <w:pPr>
        <w:spacing w:line="360" w:lineRule="auto"/>
        <w:ind w:firstLine="480" w:firstLineChars="200"/>
        <w:rPr>
          <w:sz w:val="24"/>
          <w:szCs w:val="24"/>
        </w:rPr>
      </w:pPr>
      <w:r>
        <w:rPr>
          <w:rFonts w:hint="eastAsia"/>
          <w:sz w:val="24"/>
          <w:szCs w:val="24"/>
        </w:rPr>
        <w:t>4.4.5看护假应一次性连续休完，若假期期间遇公休假日，不另加假期天数。</w:t>
      </w:r>
    </w:p>
    <w:p>
      <w:pPr>
        <w:spacing w:line="360" w:lineRule="auto"/>
        <w:ind w:firstLine="482" w:firstLineChars="200"/>
        <w:rPr>
          <w:b/>
          <w:sz w:val="24"/>
          <w:szCs w:val="24"/>
        </w:rPr>
      </w:pPr>
      <w:r>
        <w:rPr>
          <w:rFonts w:hint="eastAsia"/>
          <w:b/>
          <w:sz w:val="24"/>
          <w:szCs w:val="24"/>
        </w:rPr>
        <w:t>4.5 哺乳假</w:t>
      </w:r>
    </w:p>
    <w:p>
      <w:pPr>
        <w:spacing w:line="360" w:lineRule="auto"/>
        <w:ind w:firstLine="480" w:firstLineChars="200"/>
        <w:rPr>
          <w:sz w:val="24"/>
          <w:szCs w:val="24"/>
        </w:rPr>
      </w:pPr>
      <w:r>
        <w:rPr>
          <w:rFonts w:hint="eastAsia"/>
          <w:sz w:val="24"/>
          <w:szCs w:val="24"/>
        </w:rPr>
        <w:t>在符合国家有关计划生育规定的前提下，女员工在其婴儿一周岁前，可享有每天总计1小时的哺乳假。哺乳假在相应期限内使用，不作累计补偿，未休的哺乳假不能用补休和薪金替代。</w:t>
      </w:r>
    </w:p>
    <w:p>
      <w:pPr>
        <w:spacing w:line="360" w:lineRule="auto"/>
        <w:ind w:firstLine="482" w:firstLineChars="200"/>
        <w:rPr>
          <w:b/>
          <w:sz w:val="24"/>
          <w:szCs w:val="24"/>
        </w:rPr>
      </w:pPr>
      <w:r>
        <w:rPr>
          <w:rFonts w:hint="eastAsia"/>
          <w:b/>
          <w:sz w:val="24"/>
          <w:szCs w:val="24"/>
        </w:rPr>
        <w:t>4.6 丧假</w:t>
      </w:r>
    </w:p>
    <w:p>
      <w:pPr>
        <w:spacing w:line="360" w:lineRule="auto"/>
        <w:ind w:firstLine="480" w:firstLineChars="200"/>
        <w:rPr>
          <w:sz w:val="24"/>
          <w:szCs w:val="24"/>
        </w:rPr>
      </w:pPr>
      <w:r>
        <w:rPr>
          <w:rFonts w:hint="eastAsia"/>
          <w:sz w:val="24"/>
          <w:szCs w:val="24"/>
        </w:rPr>
        <w:t>4.6.1员工的直系亲属身故，可给予1~3天个日历日以内的丧假。直系亲属系指员工本人父母、配偶、配偶父母、子女、祖父母、外祖父母、兄弟姐妹</w:t>
      </w:r>
    </w:p>
    <w:p>
      <w:pPr>
        <w:spacing w:line="360" w:lineRule="auto"/>
        <w:ind w:firstLine="480" w:firstLineChars="200"/>
        <w:rPr>
          <w:sz w:val="24"/>
          <w:szCs w:val="24"/>
        </w:rPr>
      </w:pPr>
      <w:r>
        <w:rPr>
          <w:rFonts w:hint="eastAsia"/>
          <w:sz w:val="24"/>
          <w:szCs w:val="24"/>
        </w:rPr>
        <w:t>4.6.2丧假应一次性于1个月内休完，公司不另加路程假。遇公休日或法定节假日，不另加假期天数；</w:t>
      </w:r>
    </w:p>
    <w:p>
      <w:pPr>
        <w:spacing w:line="360" w:lineRule="auto"/>
        <w:ind w:firstLine="480" w:firstLineChars="200"/>
        <w:rPr>
          <w:sz w:val="24"/>
          <w:szCs w:val="24"/>
        </w:rPr>
      </w:pPr>
      <w:r>
        <w:rPr>
          <w:rFonts w:hint="eastAsia"/>
          <w:sz w:val="24"/>
          <w:szCs w:val="24"/>
        </w:rPr>
        <w:t>4.6.3员工申请丧假时须出示相关证明。</w:t>
      </w:r>
    </w:p>
    <w:p>
      <w:pPr>
        <w:spacing w:line="360" w:lineRule="auto"/>
        <w:ind w:firstLine="482" w:firstLineChars="200"/>
        <w:rPr>
          <w:b/>
          <w:sz w:val="24"/>
          <w:szCs w:val="24"/>
        </w:rPr>
      </w:pPr>
      <w:r>
        <w:rPr>
          <w:rFonts w:hint="eastAsia"/>
          <w:b/>
          <w:sz w:val="24"/>
          <w:szCs w:val="24"/>
        </w:rPr>
        <w:t>4.7 有薪假期申请及薪金</w:t>
      </w:r>
    </w:p>
    <w:p>
      <w:pPr>
        <w:spacing w:line="360" w:lineRule="auto"/>
        <w:ind w:firstLine="480" w:firstLineChars="200"/>
        <w:rPr>
          <w:sz w:val="24"/>
          <w:szCs w:val="24"/>
        </w:rPr>
      </w:pPr>
      <w:r>
        <w:rPr>
          <w:rFonts w:hint="eastAsia"/>
          <w:sz w:val="24"/>
          <w:szCs w:val="24"/>
        </w:rPr>
        <w:t>4.7.1一般情况，员工均应提前提交《请假申请表》（附件1），单位领导审批通过方可休假，未经批准而不上班的按旷工处理；</w:t>
      </w:r>
    </w:p>
    <w:p>
      <w:pPr>
        <w:spacing w:line="360" w:lineRule="auto"/>
        <w:ind w:firstLine="480" w:firstLineChars="200"/>
        <w:rPr>
          <w:sz w:val="24"/>
          <w:szCs w:val="24"/>
        </w:rPr>
      </w:pPr>
      <w:r>
        <w:rPr>
          <w:rFonts w:hint="eastAsia"/>
          <w:sz w:val="24"/>
          <w:szCs w:val="24"/>
        </w:rPr>
        <w:t>4.7.2 除产假、丧假外，员工休假在3 个日历日及以上的，应提前至少1 周申请；</w:t>
      </w:r>
    </w:p>
    <w:p>
      <w:pPr>
        <w:spacing w:line="360" w:lineRule="auto"/>
        <w:ind w:firstLine="480" w:firstLineChars="200"/>
        <w:rPr>
          <w:sz w:val="24"/>
          <w:szCs w:val="24"/>
        </w:rPr>
      </w:pPr>
      <w:r>
        <w:rPr>
          <w:rFonts w:hint="eastAsia"/>
          <w:sz w:val="24"/>
          <w:szCs w:val="24"/>
        </w:rPr>
        <w:t>4.7.3 上述有薪假期期间，工资不扣减。</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5．病假及事假</w:t>
      </w:r>
    </w:p>
    <w:p>
      <w:pPr>
        <w:spacing w:line="360" w:lineRule="auto"/>
        <w:ind w:firstLine="482" w:firstLineChars="200"/>
        <w:rPr>
          <w:b/>
          <w:sz w:val="24"/>
          <w:szCs w:val="24"/>
        </w:rPr>
      </w:pPr>
      <w:r>
        <w:rPr>
          <w:rFonts w:hint="eastAsia"/>
          <w:b/>
          <w:sz w:val="24"/>
          <w:szCs w:val="24"/>
        </w:rPr>
        <w:t>5.1 病假</w:t>
      </w:r>
    </w:p>
    <w:p>
      <w:pPr>
        <w:spacing w:line="360" w:lineRule="auto"/>
        <w:ind w:firstLine="480" w:firstLineChars="200"/>
        <w:rPr>
          <w:sz w:val="24"/>
          <w:szCs w:val="24"/>
        </w:rPr>
      </w:pPr>
      <w:r>
        <w:rPr>
          <w:rFonts w:hint="eastAsia"/>
          <w:sz w:val="24"/>
          <w:szCs w:val="24"/>
        </w:rPr>
        <w:t>5.1.1机构给予员工每月1天的带薪病假，每年不超出12 天；</w:t>
      </w:r>
    </w:p>
    <w:p>
      <w:pPr>
        <w:spacing w:line="360" w:lineRule="auto"/>
        <w:ind w:firstLine="480" w:firstLineChars="200"/>
        <w:rPr>
          <w:sz w:val="24"/>
          <w:szCs w:val="24"/>
        </w:rPr>
      </w:pPr>
      <w:r>
        <w:rPr>
          <w:rFonts w:hint="eastAsia"/>
          <w:sz w:val="24"/>
          <w:szCs w:val="24"/>
        </w:rPr>
        <w:t>5.1.2带薪病假如同时休2天或2天以上的，须出具社保医院病假证明；</w:t>
      </w:r>
    </w:p>
    <w:p>
      <w:pPr>
        <w:spacing w:line="360" w:lineRule="auto"/>
        <w:ind w:firstLine="480" w:firstLineChars="200"/>
        <w:rPr>
          <w:sz w:val="24"/>
          <w:szCs w:val="24"/>
        </w:rPr>
      </w:pPr>
      <w:r>
        <w:rPr>
          <w:rFonts w:hint="eastAsia"/>
          <w:sz w:val="24"/>
          <w:szCs w:val="24"/>
        </w:rPr>
        <w:t>5.1.3员工因患病或非因工负伤，需要停止工作而实施医疗时，向机构申请休病假；</w:t>
      </w:r>
    </w:p>
    <w:p>
      <w:pPr>
        <w:spacing w:line="360" w:lineRule="auto"/>
        <w:ind w:firstLine="480" w:firstLineChars="200"/>
        <w:rPr>
          <w:sz w:val="24"/>
          <w:szCs w:val="24"/>
        </w:rPr>
      </w:pPr>
      <w:r>
        <w:rPr>
          <w:rFonts w:hint="eastAsia"/>
          <w:sz w:val="24"/>
          <w:szCs w:val="24"/>
        </w:rPr>
        <w:t>5.1.4根据本人实际参加工作年限和在本机构作年限，给予3个月至24个月的医疗期，参照劳动部颁发的《企业职工患病或非因工负伤医疗期规定》的执行。</w:t>
      </w:r>
    </w:p>
    <w:p>
      <w:pPr>
        <w:spacing w:line="360" w:lineRule="auto"/>
        <w:ind w:firstLine="480" w:firstLineChars="200"/>
        <w:rPr>
          <w:sz w:val="24"/>
          <w:szCs w:val="24"/>
        </w:rPr>
      </w:pPr>
      <w:r>
        <w:rPr>
          <w:rFonts w:hint="eastAsia"/>
          <w:sz w:val="24"/>
          <w:szCs w:val="24"/>
        </w:rPr>
        <w:t>5.1.5 医疗期自病休之日开始计算，医疗期满后如仍需休假，则视为事假；</w:t>
      </w:r>
    </w:p>
    <w:p>
      <w:pPr>
        <w:spacing w:line="360" w:lineRule="auto"/>
        <w:ind w:firstLine="480" w:firstLineChars="200"/>
        <w:rPr>
          <w:sz w:val="24"/>
          <w:szCs w:val="24"/>
        </w:rPr>
      </w:pPr>
      <w:r>
        <w:rPr>
          <w:rFonts w:hint="eastAsia"/>
          <w:sz w:val="24"/>
          <w:szCs w:val="24"/>
        </w:rPr>
        <w:t>5.1.6 病假在1个月内（含法定节假日、周休日）可用年假相抵，年假已抵扣完者病假者只发放按月薪50%的薪酬，如超出1个月病假，机构将按员工劳动合同履行地最低工资标准支付；</w:t>
      </w:r>
    </w:p>
    <w:p>
      <w:pPr>
        <w:spacing w:line="360" w:lineRule="auto"/>
        <w:ind w:firstLine="480" w:firstLineChars="200"/>
        <w:rPr>
          <w:sz w:val="24"/>
          <w:szCs w:val="24"/>
        </w:rPr>
      </w:pPr>
      <w:r>
        <w:rPr>
          <w:rFonts w:hint="eastAsia"/>
          <w:sz w:val="24"/>
          <w:szCs w:val="24"/>
        </w:rPr>
        <w:t>5.1.7员工在通过试用期后才能享受带薪病假；</w:t>
      </w:r>
    </w:p>
    <w:p>
      <w:pPr>
        <w:spacing w:line="360" w:lineRule="auto"/>
        <w:ind w:firstLine="480" w:firstLineChars="200"/>
        <w:rPr>
          <w:sz w:val="24"/>
          <w:szCs w:val="24"/>
        </w:rPr>
      </w:pPr>
      <w:r>
        <w:rPr>
          <w:rFonts w:hint="eastAsia"/>
          <w:sz w:val="24"/>
          <w:szCs w:val="24"/>
        </w:rPr>
        <w:t>5.1.8如果员工因病不能上班，除确有特殊情况外，应立即向其直属上司提出病假申请，否则机构有权按旷工处理。</w:t>
      </w:r>
    </w:p>
    <w:p>
      <w:pPr>
        <w:spacing w:line="360" w:lineRule="auto"/>
        <w:ind w:firstLine="482" w:firstLineChars="200"/>
        <w:rPr>
          <w:b/>
          <w:sz w:val="24"/>
          <w:szCs w:val="24"/>
        </w:rPr>
      </w:pPr>
      <w:r>
        <w:rPr>
          <w:rFonts w:hint="eastAsia"/>
          <w:b/>
          <w:sz w:val="24"/>
          <w:szCs w:val="24"/>
        </w:rPr>
        <w:t>5.2 事假</w:t>
      </w:r>
    </w:p>
    <w:p>
      <w:pPr>
        <w:spacing w:line="360" w:lineRule="auto"/>
        <w:ind w:firstLine="480" w:firstLineChars="200"/>
        <w:rPr>
          <w:sz w:val="24"/>
          <w:szCs w:val="24"/>
        </w:rPr>
      </w:pPr>
      <w:r>
        <w:rPr>
          <w:rFonts w:hint="eastAsia"/>
          <w:sz w:val="24"/>
          <w:szCs w:val="24"/>
        </w:rPr>
        <w:t>5.2.1员工需在用完所有补休和年假的前提下，方可申请休事假；</w:t>
      </w:r>
    </w:p>
    <w:p>
      <w:pPr>
        <w:spacing w:line="360" w:lineRule="auto"/>
        <w:ind w:firstLine="480" w:firstLineChars="200"/>
        <w:rPr>
          <w:sz w:val="24"/>
          <w:szCs w:val="24"/>
        </w:rPr>
      </w:pPr>
      <w:r>
        <w:rPr>
          <w:rFonts w:hint="eastAsia"/>
          <w:sz w:val="24"/>
          <w:szCs w:val="24"/>
        </w:rPr>
        <w:t>5.2.2 事假以工作日计，基金会不支付员工事假期间的工资及奖金；</w:t>
      </w:r>
    </w:p>
    <w:p>
      <w:pPr>
        <w:spacing w:line="360" w:lineRule="auto"/>
        <w:ind w:firstLine="480" w:firstLineChars="200"/>
        <w:rPr>
          <w:sz w:val="24"/>
          <w:szCs w:val="24"/>
        </w:rPr>
      </w:pPr>
      <w:r>
        <w:rPr>
          <w:rFonts w:hint="eastAsia"/>
          <w:sz w:val="24"/>
          <w:szCs w:val="24"/>
        </w:rPr>
        <w:t>5.</w:t>
      </w:r>
      <w:r>
        <w:rPr>
          <w:rFonts w:hint="eastAsia"/>
          <w:sz w:val="24"/>
          <w:szCs w:val="24"/>
          <w:lang w:val="en-US" w:eastAsia="zh-CN"/>
        </w:rPr>
        <w:t>2</w:t>
      </w:r>
      <w:r>
        <w:rPr>
          <w:rFonts w:hint="eastAsia"/>
          <w:sz w:val="24"/>
          <w:szCs w:val="24"/>
        </w:rPr>
        <w:t>.3 员工休假在3个日历日及以上的，应提前至少1周申请；</w:t>
      </w:r>
    </w:p>
    <w:p>
      <w:pPr>
        <w:spacing w:line="360" w:lineRule="auto"/>
        <w:ind w:firstLine="480" w:firstLineChars="200"/>
        <w:rPr>
          <w:sz w:val="24"/>
          <w:szCs w:val="24"/>
        </w:rPr>
      </w:pPr>
      <w:r>
        <w:rPr>
          <w:rFonts w:hint="eastAsia"/>
          <w:sz w:val="24"/>
          <w:szCs w:val="24"/>
          <w:lang w:val="en-US" w:eastAsia="zh-CN"/>
        </w:rPr>
        <w:t>5</w:t>
      </w:r>
      <w:r>
        <w:rPr>
          <w:rFonts w:hint="eastAsia"/>
          <w:sz w:val="24"/>
          <w:szCs w:val="24"/>
        </w:rPr>
        <w:t>.2.4 每年度累计申请或使用的事假不超过30日。</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6. 附则</w:t>
      </w:r>
    </w:p>
    <w:p>
      <w:pPr>
        <w:spacing w:line="360" w:lineRule="auto"/>
        <w:ind w:firstLine="480" w:firstLineChars="200"/>
        <w:rPr>
          <w:rFonts w:hint="eastAsia" w:eastAsiaTheme="minorEastAsia"/>
          <w:sz w:val="24"/>
          <w:szCs w:val="24"/>
          <w:lang w:eastAsia="zh-CN"/>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r>
        <w:rPr>
          <w:rFonts w:hint="eastAsia"/>
          <w:sz w:val="24"/>
          <w:szCs w:val="24"/>
          <w:lang w:eastAsia="zh-CN"/>
        </w:rPr>
        <w:t>。</w:t>
      </w:r>
    </w:p>
    <w:p>
      <w:pPr>
        <w:spacing w:line="360" w:lineRule="auto"/>
        <w:ind w:firstLine="480" w:firstLineChars="200"/>
        <w:rPr>
          <w:rFonts w:hint="eastAsia"/>
          <w:sz w:val="24"/>
          <w:szCs w:val="24"/>
        </w:rPr>
      </w:pPr>
    </w:p>
    <w:p>
      <w:pPr>
        <w:spacing w:before="156" w:beforeLines="50" w:after="156" w:afterLines="50" w:line="360" w:lineRule="auto"/>
        <w:jc w:val="center"/>
        <w:outlineLvl w:val="1"/>
        <w:rPr>
          <w:rFonts w:ascii="黑体" w:hAnsi="黑体" w:eastAsia="黑体"/>
          <w:b/>
          <w:sz w:val="32"/>
          <w:szCs w:val="32"/>
        </w:rPr>
      </w:pPr>
      <w:bookmarkStart w:id="44" w:name="_Toc2861"/>
      <w:bookmarkStart w:id="45" w:name="_Toc403829196"/>
      <w:r>
        <w:rPr>
          <w:rFonts w:hint="eastAsia" w:ascii="黑体" w:hAnsi="黑体" w:eastAsia="黑体"/>
          <w:b/>
          <w:sz w:val="32"/>
          <w:szCs w:val="32"/>
        </w:rPr>
        <w:t>二十</w:t>
      </w:r>
      <w:r>
        <w:rPr>
          <w:rFonts w:hint="eastAsia" w:ascii="黑体" w:hAnsi="黑体" w:eastAsia="黑体"/>
          <w:b/>
          <w:sz w:val="32"/>
          <w:szCs w:val="32"/>
          <w:lang w:val="en-US" w:eastAsia="zh-CN"/>
        </w:rPr>
        <w:t>四</w:t>
      </w:r>
      <w:r>
        <w:rPr>
          <w:rFonts w:hint="eastAsia" w:ascii="黑体" w:hAnsi="黑体" w:eastAsia="黑体"/>
          <w:b/>
          <w:sz w:val="32"/>
          <w:szCs w:val="32"/>
        </w:rPr>
        <w:t xml:space="preserve"> </w:t>
      </w:r>
      <w:r>
        <w:rPr>
          <w:rFonts w:hint="eastAsia" w:ascii="黑体" w:hAnsi="黑体" w:eastAsia="黑体"/>
          <w:b/>
          <w:sz w:val="32"/>
          <w:szCs w:val="32"/>
          <w:lang w:eastAsia="zh-CN"/>
        </w:rPr>
        <w:t>北京天地文化发展</w:t>
      </w:r>
      <w:r>
        <w:rPr>
          <w:rFonts w:hint="eastAsia" w:ascii="黑体" w:hAnsi="黑体" w:eastAsia="黑体"/>
          <w:b/>
          <w:sz w:val="32"/>
          <w:szCs w:val="32"/>
        </w:rPr>
        <w:t>基金会志愿者管理制度</w:t>
      </w:r>
      <w:bookmarkEnd w:id="44"/>
      <w:bookmarkEnd w:id="45"/>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1．总则</w:t>
      </w:r>
    </w:p>
    <w:p>
      <w:pPr>
        <w:spacing w:line="360" w:lineRule="auto"/>
        <w:ind w:firstLine="480" w:firstLineChars="200"/>
        <w:rPr>
          <w:sz w:val="24"/>
          <w:szCs w:val="24"/>
        </w:rPr>
      </w:pPr>
      <w:r>
        <w:rPr>
          <w:rFonts w:hint="eastAsia"/>
          <w:sz w:val="24"/>
          <w:szCs w:val="24"/>
        </w:rPr>
        <w:t>1.1为专业化管理</w:t>
      </w:r>
      <w:r>
        <w:rPr>
          <w:rFonts w:hint="eastAsia"/>
          <w:sz w:val="24"/>
          <w:szCs w:val="24"/>
          <w:lang w:eastAsia="zh-CN"/>
        </w:rPr>
        <w:t>北京天地文化发展</w:t>
      </w:r>
      <w:r>
        <w:rPr>
          <w:rFonts w:hint="eastAsia"/>
          <w:sz w:val="24"/>
          <w:szCs w:val="24"/>
        </w:rPr>
        <w:t>基金会（以下简称“本基金会”）的志愿者工作，保证志愿者的及时补充和有效管理，依据《基金会管理条例》、《</w:t>
      </w:r>
      <w:r>
        <w:rPr>
          <w:rFonts w:hint="eastAsia"/>
          <w:sz w:val="24"/>
          <w:szCs w:val="24"/>
          <w:lang w:eastAsia="zh-CN"/>
        </w:rPr>
        <w:t>北京天地文化发展</w:t>
      </w:r>
      <w:r>
        <w:rPr>
          <w:rFonts w:hint="eastAsia"/>
          <w:sz w:val="24"/>
          <w:szCs w:val="24"/>
        </w:rPr>
        <w:t>基金会章程》及其他相关规定，特制定本制度；</w:t>
      </w:r>
    </w:p>
    <w:p>
      <w:pPr>
        <w:spacing w:line="360" w:lineRule="auto"/>
        <w:ind w:firstLine="480" w:firstLineChars="200"/>
        <w:rPr>
          <w:sz w:val="24"/>
          <w:szCs w:val="24"/>
        </w:rPr>
      </w:pPr>
      <w:r>
        <w:rPr>
          <w:rFonts w:hint="eastAsia"/>
          <w:sz w:val="24"/>
          <w:szCs w:val="24"/>
        </w:rPr>
        <w:t>1.2 本制度适用于本基金会志愿者管理工作。</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2．志愿者分类</w:t>
      </w:r>
    </w:p>
    <w:p>
      <w:pPr>
        <w:spacing w:line="360" w:lineRule="auto"/>
        <w:ind w:firstLine="480" w:firstLineChars="200"/>
        <w:rPr>
          <w:sz w:val="24"/>
          <w:szCs w:val="24"/>
        </w:rPr>
      </w:pPr>
      <w:r>
        <w:rPr>
          <w:rFonts w:hint="eastAsia"/>
          <w:sz w:val="24"/>
          <w:szCs w:val="24"/>
        </w:rPr>
        <w:t>2.1 实习生：在基金会可以持续工作一个月以上、相对稳定完成一部分工作的志愿者；</w:t>
      </w:r>
    </w:p>
    <w:p>
      <w:pPr>
        <w:spacing w:line="360" w:lineRule="auto"/>
        <w:ind w:firstLine="480" w:firstLineChars="200"/>
        <w:rPr>
          <w:sz w:val="24"/>
          <w:szCs w:val="24"/>
        </w:rPr>
      </w:pPr>
      <w:r>
        <w:rPr>
          <w:rFonts w:hint="eastAsia"/>
          <w:sz w:val="24"/>
          <w:szCs w:val="24"/>
        </w:rPr>
        <w:t>2.2 专业志愿者：具有某个方面的专长，为本基金会提供编辑、翻译、设计、项目咨询、研究等服务的志愿者；</w:t>
      </w:r>
    </w:p>
    <w:p>
      <w:pPr>
        <w:spacing w:line="360" w:lineRule="auto"/>
        <w:ind w:firstLine="480" w:firstLineChars="200"/>
        <w:rPr>
          <w:sz w:val="24"/>
          <w:szCs w:val="24"/>
        </w:rPr>
      </w:pPr>
      <w:r>
        <w:rPr>
          <w:rFonts w:hint="eastAsia"/>
          <w:sz w:val="24"/>
          <w:szCs w:val="24"/>
        </w:rPr>
        <w:t>2.3 活动志愿者：在本基金会组织的一次或数次活动中提供服务的活动志愿者。</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3．志愿者的招募与选拔</w:t>
      </w:r>
    </w:p>
    <w:p>
      <w:pPr>
        <w:spacing w:line="360" w:lineRule="auto"/>
        <w:ind w:firstLine="480" w:firstLineChars="200"/>
        <w:rPr>
          <w:sz w:val="24"/>
          <w:szCs w:val="24"/>
        </w:rPr>
      </w:pPr>
      <w:r>
        <w:rPr>
          <w:rFonts w:hint="eastAsia"/>
          <w:sz w:val="24"/>
          <w:szCs w:val="24"/>
        </w:rPr>
        <w:t>3.1基金会各部门根据工作需要均可提出志愿者申请，填写《基金会用人需求表》，基金会秘书处审批同意后，即可开始志愿者招募与选拔工作。</w:t>
      </w:r>
    </w:p>
    <w:p>
      <w:pPr>
        <w:spacing w:line="360" w:lineRule="auto"/>
        <w:ind w:firstLine="480" w:firstLineChars="200"/>
        <w:rPr>
          <w:sz w:val="24"/>
          <w:szCs w:val="24"/>
        </w:rPr>
      </w:pPr>
      <w:r>
        <w:rPr>
          <w:rFonts w:hint="eastAsia"/>
          <w:sz w:val="24"/>
          <w:szCs w:val="24"/>
        </w:rPr>
        <w:t>3.2本基金会志愿者招募主要采取发布需求、接收简历、人员筛选、约见面试、确定人选等基本流程，同时接受推荐志愿者；</w:t>
      </w:r>
    </w:p>
    <w:p>
      <w:pPr>
        <w:spacing w:line="360" w:lineRule="auto"/>
        <w:ind w:firstLine="480" w:firstLineChars="200"/>
        <w:rPr>
          <w:sz w:val="24"/>
          <w:szCs w:val="24"/>
        </w:rPr>
      </w:pPr>
      <w:r>
        <w:rPr>
          <w:rFonts w:hint="eastAsia"/>
          <w:sz w:val="24"/>
          <w:szCs w:val="24"/>
        </w:rPr>
        <w:t>3.3志愿者必须具备以下条件：</w:t>
      </w:r>
    </w:p>
    <w:p>
      <w:pPr>
        <w:spacing w:line="360" w:lineRule="auto"/>
        <w:ind w:firstLine="480" w:firstLineChars="200"/>
        <w:rPr>
          <w:sz w:val="24"/>
          <w:szCs w:val="24"/>
        </w:rPr>
      </w:pPr>
      <w:r>
        <w:rPr>
          <w:rFonts w:hint="eastAsia"/>
          <w:sz w:val="24"/>
          <w:szCs w:val="24"/>
        </w:rPr>
        <w:t>3.3.1认同本基金会理念及团队文化；</w:t>
      </w:r>
    </w:p>
    <w:p>
      <w:pPr>
        <w:spacing w:line="360" w:lineRule="auto"/>
        <w:ind w:firstLine="480" w:firstLineChars="200"/>
        <w:rPr>
          <w:sz w:val="24"/>
          <w:szCs w:val="24"/>
        </w:rPr>
      </w:pPr>
      <w:r>
        <w:rPr>
          <w:rFonts w:hint="eastAsia"/>
          <w:sz w:val="24"/>
          <w:szCs w:val="24"/>
        </w:rPr>
        <w:t>3.3.2有爱心、责任心和恒心的志愿人士；</w:t>
      </w:r>
    </w:p>
    <w:p>
      <w:pPr>
        <w:spacing w:line="360" w:lineRule="auto"/>
        <w:ind w:firstLine="480" w:firstLineChars="200"/>
        <w:rPr>
          <w:sz w:val="24"/>
          <w:szCs w:val="24"/>
        </w:rPr>
      </w:pPr>
      <w:r>
        <w:rPr>
          <w:rFonts w:hint="eastAsia"/>
          <w:sz w:val="24"/>
          <w:szCs w:val="24"/>
        </w:rPr>
        <w:t>3.3.3关注基金会发展，志愿参与基金会项目服务；　　</w:t>
      </w:r>
    </w:p>
    <w:p>
      <w:pPr>
        <w:spacing w:line="360" w:lineRule="auto"/>
        <w:ind w:firstLine="480" w:firstLineChars="200"/>
        <w:rPr>
          <w:sz w:val="24"/>
          <w:szCs w:val="24"/>
        </w:rPr>
      </w:pPr>
      <w:r>
        <w:rPr>
          <w:rFonts w:hint="eastAsia"/>
          <w:sz w:val="24"/>
          <w:szCs w:val="24"/>
        </w:rPr>
        <w:t>3.3.4具备一定能力，能胜任服务需求；</w:t>
      </w:r>
    </w:p>
    <w:p>
      <w:pPr>
        <w:spacing w:line="360" w:lineRule="auto"/>
        <w:ind w:firstLine="480" w:firstLineChars="200"/>
        <w:rPr>
          <w:sz w:val="24"/>
          <w:szCs w:val="24"/>
        </w:rPr>
      </w:pPr>
      <w:r>
        <w:rPr>
          <w:rFonts w:hint="eastAsia"/>
          <w:sz w:val="24"/>
          <w:szCs w:val="24"/>
        </w:rPr>
        <w:t>3.3.5身体健康，有空余时间参与到本基金会的相关工作。</w:t>
      </w:r>
    </w:p>
    <w:p>
      <w:pPr>
        <w:spacing w:line="360" w:lineRule="auto"/>
        <w:ind w:firstLine="480" w:firstLineChars="200"/>
        <w:rPr>
          <w:sz w:val="24"/>
          <w:szCs w:val="24"/>
        </w:rPr>
      </w:pPr>
      <w:r>
        <w:rPr>
          <w:rFonts w:hint="eastAsia"/>
          <w:sz w:val="24"/>
          <w:szCs w:val="24"/>
        </w:rPr>
        <w:t>3.4本基金会将结合工作需求及志愿者的需求来选择合适的志愿者，并与志愿者协商服务的内容、时间、形式等，最终达成双方的共识。</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4．志愿者的录用</w:t>
      </w:r>
    </w:p>
    <w:p>
      <w:pPr>
        <w:spacing w:line="360" w:lineRule="auto"/>
        <w:ind w:firstLine="480" w:firstLineChars="200"/>
        <w:rPr>
          <w:sz w:val="24"/>
          <w:szCs w:val="24"/>
        </w:rPr>
      </w:pPr>
      <w:r>
        <w:rPr>
          <w:rFonts w:hint="eastAsia"/>
          <w:sz w:val="24"/>
          <w:szCs w:val="24"/>
        </w:rPr>
        <w:t>4.1本基金会核实志愿者本人身份，保证身份有效，信息真实；</w:t>
      </w:r>
    </w:p>
    <w:p>
      <w:pPr>
        <w:spacing w:line="360" w:lineRule="auto"/>
        <w:ind w:firstLine="480" w:firstLineChars="200"/>
        <w:rPr>
          <w:sz w:val="24"/>
          <w:szCs w:val="24"/>
        </w:rPr>
      </w:pPr>
      <w:r>
        <w:rPr>
          <w:rFonts w:hint="eastAsia"/>
          <w:sz w:val="24"/>
          <w:szCs w:val="24"/>
        </w:rPr>
        <w:t>4.2志愿者一经录用，与基金会签署《志愿服务协议》；</w:t>
      </w:r>
    </w:p>
    <w:p>
      <w:pPr>
        <w:spacing w:line="360" w:lineRule="auto"/>
        <w:ind w:firstLine="480" w:firstLineChars="200"/>
        <w:rPr>
          <w:sz w:val="24"/>
          <w:szCs w:val="24"/>
        </w:rPr>
      </w:pPr>
      <w:r>
        <w:rPr>
          <w:rFonts w:hint="eastAsia"/>
          <w:sz w:val="24"/>
          <w:szCs w:val="24"/>
        </w:rPr>
        <w:t>4.3服务期满后，本基金会颁发志愿者服务证书或实习证明。</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5．志愿者的管理</w:t>
      </w:r>
    </w:p>
    <w:p>
      <w:pPr>
        <w:spacing w:line="360" w:lineRule="auto"/>
        <w:ind w:firstLine="480" w:firstLineChars="200"/>
        <w:rPr>
          <w:sz w:val="24"/>
          <w:szCs w:val="24"/>
        </w:rPr>
      </w:pPr>
      <w:r>
        <w:rPr>
          <w:rFonts w:hint="eastAsia"/>
          <w:sz w:val="24"/>
          <w:szCs w:val="24"/>
        </w:rPr>
        <w:t>5.1各部门志愿者的直接领导及部门负责人承担其管理及指导的职责，负责管理志愿者志愿服务工作并提供咨询与支持，同时指导志愿者克服工作所遇问题，并为志愿者个人成长提供帮助；</w:t>
      </w:r>
    </w:p>
    <w:p>
      <w:pPr>
        <w:spacing w:line="360" w:lineRule="auto"/>
        <w:ind w:firstLine="480" w:firstLineChars="200"/>
        <w:rPr>
          <w:sz w:val="24"/>
          <w:szCs w:val="24"/>
        </w:rPr>
      </w:pPr>
      <w:r>
        <w:rPr>
          <w:rFonts w:hint="eastAsia"/>
          <w:sz w:val="24"/>
          <w:szCs w:val="24"/>
        </w:rPr>
        <w:t>5.2综合管理部承担志愿者管理的协调支持与统筹组织，协调并支持各部门对志愿者的需求；建立志愿者机构信息库，整合志愿者资源，为实现志愿者个人发展提供帮助与支持。</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6．志愿者的权利与义务</w:t>
      </w:r>
    </w:p>
    <w:p>
      <w:pPr>
        <w:spacing w:line="360" w:lineRule="auto"/>
        <w:ind w:firstLine="480" w:firstLineChars="200"/>
        <w:rPr>
          <w:sz w:val="24"/>
          <w:szCs w:val="24"/>
        </w:rPr>
      </w:pPr>
      <w:r>
        <w:rPr>
          <w:rFonts w:hint="eastAsia"/>
          <w:sz w:val="24"/>
          <w:szCs w:val="24"/>
        </w:rPr>
        <w:t>6.1 志愿者的权利：</w:t>
      </w:r>
    </w:p>
    <w:p>
      <w:pPr>
        <w:spacing w:line="360" w:lineRule="auto"/>
        <w:ind w:firstLine="480" w:firstLineChars="200"/>
        <w:rPr>
          <w:sz w:val="24"/>
          <w:szCs w:val="24"/>
        </w:rPr>
      </w:pPr>
      <w:r>
        <w:rPr>
          <w:rFonts w:hint="eastAsia"/>
          <w:sz w:val="24"/>
          <w:szCs w:val="24"/>
        </w:rPr>
        <w:t>6.1.1了解本基金会的运作流程和管理制度；</w:t>
      </w:r>
    </w:p>
    <w:p>
      <w:pPr>
        <w:spacing w:line="360" w:lineRule="auto"/>
        <w:ind w:firstLine="480" w:firstLineChars="200"/>
        <w:rPr>
          <w:sz w:val="24"/>
          <w:szCs w:val="24"/>
        </w:rPr>
      </w:pPr>
      <w:r>
        <w:rPr>
          <w:rFonts w:hint="eastAsia"/>
          <w:sz w:val="24"/>
          <w:szCs w:val="24"/>
        </w:rPr>
        <w:t>6.1.2参加本基金会提供的相关培训与交流学习活动；</w:t>
      </w:r>
    </w:p>
    <w:p>
      <w:pPr>
        <w:spacing w:line="360" w:lineRule="auto"/>
        <w:ind w:firstLine="480" w:firstLineChars="200"/>
        <w:rPr>
          <w:sz w:val="24"/>
          <w:szCs w:val="24"/>
        </w:rPr>
      </w:pPr>
      <w:r>
        <w:rPr>
          <w:rFonts w:hint="eastAsia"/>
          <w:sz w:val="24"/>
          <w:szCs w:val="24"/>
        </w:rPr>
        <w:t>6.1.3获得从事志愿服务的基本条件和必要保障；</w:t>
      </w:r>
    </w:p>
    <w:p>
      <w:pPr>
        <w:spacing w:line="360" w:lineRule="auto"/>
        <w:ind w:firstLine="480" w:firstLineChars="200"/>
        <w:rPr>
          <w:sz w:val="24"/>
          <w:szCs w:val="24"/>
        </w:rPr>
      </w:pPr>
      <w:r>
        <w:rPr>
          <w:rFonts w:hint="eastAsia"/>
          <w:sz w:val="24"/>
          <w:szCs w:val="24"/>
        </w:rPr>
        <w:t>6.1.4对本基金会提出意见和建议；</w:t>
      </w:r>
    </w:p>
    <w:p>
      <w:pPr>
        <w:spacing w:line="360" w:lineRule="auto"/>
        <w:ind w:firstLine="480" w:firstLineChars="200"/>
        <w:rPr>
          <w:sz w:val="24"/>
          <w:szCs w:val="24"/>
        </w:rPr>
      </w:pPr>
      <w:r>
        <w:rPr>
          <w:rFonts w:hint="eastAsia"/>
          <w:sz w:val="24"/>
          <w:szCs w:val="24"/>
        </w:rPr>
        <w:t>6.1.5获得本基金会提供的其它服务；</w:t>
      </w:r>
    </w:p>
    <w:p>
      <w:pPr>
        <w:spacing w:line="360" w:lineRule="auto"/>
        <w:ind w:firstLine="480" w:firstLineChars="200"/>
        <w:rPr>
          <w:sz w:val="24"/>
          <w:szCs w:val="24"/>
        </w:rPr>
      </w:pPr>
      <w:r>
        <w:rPr>
          <w:rFonts w:hint="eastAsia"/>
          <w:sz w:val="24"/>
          <w:szCs w:val="24"/>
        </w:rPr>
        <w:t>6.1.6相关法律法规及规章制度赋予的其它权利；</w:t>
      </w:r>
    </w:p>
    <w:p>
      <w:pPr>
        <w:spacing w:line="360" w:lineRule="auto"/>
        <w:ind w:firstLine="480" w:firstLineChars="200"/>
        <w:rPr>
          <w:sz w:val="24"/>
          <w:szCs w:val="24"/>
        </w:rPr>
      </w:pPr>
      <w:r>
        <w:rPr>
          <w:rFonts w:hint="eastAsia"/>
          <w:sz w:val="24"/>
          <w:szCs w:val="24"/>
        </w:rPr>
        <w:t>6.1.7有机会转成基金会全职工作人员。</w:t>
      </w:r>
    </w:p>
    <w:p>
      <w:pPr>
        <w:spacing w:line="360" w:lineRule="auto"/>
        <w:ind w:firstLine="480" w:firstLineChars="200"/>
        <w:rPr>
          <w:sz w:val="24"/>
          <w:szCs w:val="24"/>
        </w:rPr>
      </w:pPr>
      <w:r>
        <w:rPr>
          <w:rFonts w:hint="eastAsia"/>
          <w:sz w:val="24"/>
          <w:szCs w:val="24"/>
        </w:rPr>
        <w:t>6.2志愿者的义务：</w:t>
      </w:r>
    </w:p>
    <w:p>
      <w:pPr>
        <w:spacing w:line="360" w:lineRule="auto"/>
        <w:ind w:firstLine="480" w:firstLineChars="200"/>
        <w:rPr>
          <w:sz w:val="24"/>
          <w:szCs w:val="24"/>
        </w:rPr>
      </w:pPr>
      <w:r>
        <w:rPr>
          <w:rFonts w:hint="eastAsia"/>
          <w:sz w:val="24"/>
          <w:szCs w:val="24"/>
        </w:rPr>
        <w:t>6.2.1履行志愿服务承诺，服从管理，按照本基金会安排参加志愿服务工作；</w:t>
      </w:r>
    </w:p>
    <w:p>
      <w:pPr>
        <w:spacing w:line="360" w:lineRule="auto"/>
        <w:ind w:firstLine="480" w:firstLineChars="200"/>
        <w:rPr>
          <w:sz w:val="24"/>
          <w:szCs w:val="24"/>
        </w:rPr>
      </w:pPr>
      <w:r>
        <w:rPr>
          <w:rFonts w:hint="eastAsia"/>
          <w:sz w:val="24"/>
          <w:szCs w:val="24"/>
        </w:rPr>
        <w:t>6.2.2遵守本基金会的工作守则；</w:t>
      </w:r>
    </w:p>
    <w:p>
      <w:pPr>
        <w:spacing w:line="360" w:lineRule="auto"/>
        <w:ind w:firstLine="480" w:firstLineChars="200"/>
        <w:rPr>
          <w:sz w:val="24"/>
          <w:szCs w:val="24"/>
        </w:rPr>
      </w:pPr>
      <w:r>
        <w:rPr>
          <w:rFonts w:hint="eastAsia"/>
          <w:sz w:val="24"/>
          <w:szCs w:val="24"/>
        </w:rPr>
        <w:t>6.2.3自觉维护本基金会的形象；</w:t>
      </w:r>
    </w:p>
    <w:p>
      <w:pPr>
        <w:spacing w:line="360" w:lineRule="auto"/>
        <w:ind w:firstLine="480" w:firstLineChars="200"/>
        <w:rPr>
          <w:sz w:val="24"/>
          <w:szCs w:val="24"/>
        </w:rPr>
      </w:pPr>
      <w:r>
        <w:rPr>
          <w:rFonts w:hint="eastAsia"/>
          <w:sz w:val="24"/>
          <w:szCs w:val="24"/>
        </w:rPr>
        <w:t>6.2.4不得以本基金会的名义进行一切与基金会安排工作无关的事情；</w:t>
      </w:r>
    </w:p>
    <w:p>
      <w:pPr>
        <w:spacing w:line="360" w:lineRule="auto"/>
        <w:ind w:firstLine="480" w:firstLineChars="200"/>
        <w:rPr>
          <w:sz w:val="24"/>
          <w:szCs w:val="24"/>
        </w:rPr>
      </w:pPr>
      <w:r>
        <w:rPr>
          <w:rFonts w:hint="eastAsia"/>
          <w:sz w:val="24"/>
          <w:szCs w:val="24"/>
        </w:rPr>
        <w:t>6.2.5承担相关法律法规及其他规章制度规定的其它义务。</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7．志愿服务协议解除与终止</w:t>
      </w:r>
    </w:p>
    <w:p>
      <w:pPr>
        <w:spacing w:line="360" w:lineRule="auto"/>
        <w:ind w:firstLine="480" w:firstLineChars="200"/>
        <w:rPr>
          <w:sz w:val="24"/>
          <w:szCs w:val="24"/>
        </w:rPr>
      </w:pPr>
      <w:r>
        <w:rPr>
          <w:rFonts w:hint="eastAsia"/>
          <w:sz w:val="24"/>
          <w:szCs w:val="24"/>
        </w:rPr>
        <w:t>7.1如果志愿者的志愿服务结束或被重新委派新的服务岗位，直接领导需通知相关部门、综合管理部和合作服务机构，并办理相应离职、转岗手续。</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8．附则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p>
    <w:p>
      <w:pPr>
        <w:spacing w:line="360" w:lineRule="auto"/>
        <w:ind w:firstLine="480" w:firstLineChars="200"/>
        <w:rPr>
          <w:sz w:val="24"/>
          <w:szCs w:val="24"/>
        </w:rPr>
      </w:pPr>
    </w:p>
    <w:p>
      <w:pPr>
        <w:spacing w:line="360" w:lineRule="auto"/>
      </w:pPr>
    </w:p>
    <w:p>
      <w:pPr>
        <w:spacing w:line="360" w:lineRule="auto"/>
      </w:pPr>
    </w:p>
    <w:p>
      <w:pPr>
        <w:spacing w:before="156" w:beforeLines="50" w:after="156" w:afterLines="50" w:line="360" w:lineRule="auto"/>
        <w:jc w:val="center"/>
        <w:outlineLvl w:val="1"/>
        <w:rPr>
          <w:rFonts w:hint="eastAsia" w:ascii="黑体" w:hAnsi="黑体" w:eastAsia="黑体"/>
          <w:b/>
          <w:sz w:val="32"/>
          <w:szCs w:val="32"/>
        </w:rPr>
      </w:pPr>
      <w:bookmarkStart w:id="46" w:name="_Toc20943"/>
      <w:r>
        <w:rPr>
          <w:rFonts w:hint="eastAsia" w:ascii="黑体" w:hAnsi="黑体" w:eastAsia="黑体"/>
          <w:b/>
          <w:sz w:val="32"/>
          <w:szCs w:val="32"/>
          <w:lang w:val="en-US" w:eastAsia="zh-CN"/>
        </w:rPr>
        <w:t xml:space="preserve">二十五 </w:t>
      </w:r>
      <w:r>
        <w:rPr>
          <w:rFonts w:hint="eastAsia" w:ascii="黑体" w:hAnsi="黑体" w:eastAsia="黑体"/>
          <w:b/>
          <w:sz w:val="32"/>
          <w:szCs w:val="32"/>
          <w:lang w:eastAsia="zh-CN"/>
        </w:rPr>
        <w:t>北京天地</w:t>
      </w:r>
      <w:r>
        <w:rPr>
          <w:rFonts w:hint="eastAsia" w:ascii="黑体" w:hAnsi="黑体" w:eastAsia="黑体"/>
          <w:b/>
          <w:sz w:val="32"/>
          <w:szCs w:val="32"/>
          <w:lang w:val="en-US" w:eastAsia="zh-CN"/>
        </w:rPr>
        <w:t>文化发展</w:t>
      </w:r>
      <w:r>
        <w:rPr>
          <w:rFonts w:hint="eastAsia" w:ascii="黑体" w:hAnsi="黑体" w:eastAsia="黑体"/>
          <w:b/>
          <w:sz w:val="32"/>
          <w:szCs w:val="32"/>
          <w:lang w:eastAsia="zh-CN"/>
        </w:rPr>
        <w:t>基金会</w:t>
      </w:r>
      <w:r>
        <w:rPr>
          <w:rFonts w:hint="eastAsia" w:ascii="黑体" w:hAnsi="黑体" w:eastAsia="黑体"/>
          <w:b/>
          <w:sz w:val="32"/>
          <w:szCs w:val="32"/>
        </w:rPr>
        <w:t>预防腐败制度</w:t>
      </w:r>
      <w:bookmarkEnd w:id="46"/>
    </w:p>
    <w:p>
      <w:pPr>
        <w:jc w:val="center"/>
        <w:rPr>
          <w:rFonts w:ascii="宋体" w:hAnsi="宋体"/>
          <w:b/>
          <w:sz w:val="36"/>
          <w:szCs w:val="36"/>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rPr>
      </w:pPr>
      <w:r>
        <w:rPr>
          <w:rFonts w:ascii="宋体" w:hAnsi="宋体"/>
          <w:sz w:val="24"/>
          <w:szCs w:val="24"/>
        </w:rPr>
        <w:t>为深入贯彻落实党的十</w:t>
      </w:r>
      <w:r>
        <w:rPr>
          <w:rFonts w:hint="eastAsia" w:ascii="宋体" w:hAnsi="宋体"/>
          <w:sz w:val="24"/>
          <w:szCs w:val="24"/>
        </w:rPr>
        <w:t>九</w:t>
      </w:r>
      <w:r>
        <w:rPr>
          <w:rFonts w:ascii="宋体" w:hAnsi="宋体"/>
          <w:sz w:val="24"/>
          <w:szCs w:val="24"/>
        </w:rPr>
        <w:t>大</w:t>
      </w:r>
      <w:r>
        <w:rPr>
          <w:rFonts w:hint="eastAsia" w:ascii="宋体" w:hAnsi="宋体"/>
          <w:sz w:val="24"/>
          <w:szCs w:val="24"/>
        </w:rPr>
        <w:t>精神和北京市社会组织预防腐败工作部署，完</w:t>
      </w:r>
      <w:r>
        <w:rPr>
          <w:rFonts w:hint="eastAsia" w:ascii="宋体" w:hAnsi="宋体" w:eastAsia="宋体" w:cs="Times New Roman"/>
          <w:sz w:val="24"/>
          <w:szCs w:val="24"/>
        </w:rPr>
        <w:t>善</w:t>
      </w:r>
      <w:r>
        <w:rPr>
          <w:rFonts w:hint="eastAsia" w:ascii="宋体" w:hAnsi="宋体" w:eastAsia="宋体" w:cs="Times New Roman"/>
          <w:sz w:val="24"/>
          <w:szCs w:val="24"/>
          <w:lang w:eastAsia="zh-CN"/>
        </w:rPr>
        <w:t>北京天地</w:t>
      </w:r>
      <w:r>
        <w:rPr>
          <w:rFonts w:hint="eastAsia" w:ascii="宋体" w:hAnsi="宋体" w:eastAsia="宋体" w:cs="Times New Roman"/>
          <w:sz w:val="24"/>
          <w:szCs w:val="24"/>
          <w:lang w:val="en-US" w:eastAsia="zh-CN"/>
        </w:rPr>
        <w:t>文化发展</w:t>
      </w:r>
      <w:r>
        <w:rPr>
          <w:rFonts w:hint="eastAsia" w:ascii="宋体" w:hAnsi="宋体" w:eastAsia="宋体" w:cs="Times New Roman"/>
          <w:sz w:val="24"/>
          <w:szCs w:val="24"/>
          <w:lang w:eastAsia="zh-CN"/>
        </w:rPr>
        <w:t>基金会</w:t>
      </w:r>
      <w:r>
        <w:rPr>
          <w:rFonts w:hint="eastAsia" w:ascii="宋体" w:hAnsi="宋体"/>
          <w:sz w:val="24"/>
          <w:szCs w:val="24"/>
        </w:rPr>
        <w:t>（以下简称</w:t>
      </w:r>
      <w:r>
        <w:rPr>
          <w:rFonts w:hint="eastAsia" w:ascii="宋体" w:hAnsi="宋体"/>
          <w:sz w:val="24"/>
          <w:szCs w:val="24"/>
          <w:lang w:val="en-US" w:eastAsia="zh-CN"/>
        </w:rPr>
        <w:t>本基金会</w:t>
      </w:r>
      <w:r>
        <w:rPr>
          <w:rFonts w:hint="eastAsia" w:ascii="宋体" w:hAnsi="宋体"/>
          <w:sz w:val="24"/>
          <w:szCs w:val="24"/>
        </w:rPr>
        <w:t>）内部治理结构，加强</w:t>
      </w:r>
      <w:r>
        <w:rPr>
          <w:rFonts w:hint="eastAsia" w:ascii="宋体" w:hAnsi="宋体"/>
          <w:sz w:val="24"/>
          <w:szCs w:val="24"/>
          <w:lang w:val="en-US" w:eastAsia="zh-CN"/>
        </w:rPr>
        <w:t>本基金会</w:t>
      </w:r>
      <w:r>
        <w:rPr>
          <w:rFonts w:hint="eastAsia" w:ascii="宋体" w:hAnsi="宋体"/>
          <w:sz w:val="24"/>
          <w:szCs w:val="24"/>
        </w:rPr>
        <w:t>廉洁诚信建设，切实做好</w:t>
      </w:r>
      <w:r>
        <w:rPr>
          <w:rFonts w:hint="eastAsia" w:ascii="宋体" w:hAnsi="宋体"/>
          <w:sz w:val="24"/>
          <w:szCs w:val="24"/>
          <w:lang w:eastAsia="zh-CN"/>
        </w:rPr>
        <w:t>本基金会</w:t>
      </w:r>
      <w:r>
        <w:rPr>
          <w:rFonts w:hint="eastAsia" w:ascii="宋体" w:hAnsi="宋体"/>
          <w:sz w:val="24"/>
          <w:szCs w:val="24"/>
        </w:rPr>
        <w:t>反腐倡廉建设工作，依据《</w:t>
      </w:r>
      <w:r>
        <w:rPr>
          <w:rFonts w:ascii="宋体" w:hAnsi="宋体"/>
          <w:sz w:val="24"/>
          <w:szCs w:val="24"/>
        </w:rPr>
        <w:t>民政部 财政部关于加强社会组织反腐倡廉工作的意见</w:t>
      </w:r>
      <w:r>
        <w:rPr>
          <w:rFonts w:hint="eastAsia" w:ascii="宋体" w:hAnsi="宋体"/>
          <w:sz w:val="24"/>
          <w:szCs w:val="24"/>
        </w:rPr>
        <w:t>》、民政部《社会组织信用信息管理办法》、中共中央办公厅 国务院办公厅《关于改革社会组织管理制度促进社会组织健康有序发展的意见》和中共北京市委办公厅、北京市人民政府办公厅《关于改革社会组织管理制度促进社会组织健康有序发展的实施意见》等制定本制度。</w:t>
      </w:r>
    </w:p>
    <w:p>
      <w:pPr>
        <w:keepNext w:val="0"/>
        <w:keepLines w:val="0"/>
        <w:pageBreakBefore w:val="0"/>
        <w:widowControl w:val="0"/>
        <w:numPr>
          <w:ilvl w:val="0"/>
          <w:numId w:val="1"/>
        </w:numPr>
        <w:tabs>
          <w:tab w:val="left" w:pos="0"/>
          <w:tab w:val="clear" w:pos="312"/>
        </w:tabs>
        <w:kinsoku/>
        <w:wordWrap/>
        <w:overflowPunct/>
        <w:topLinePunct w:val="0"/>
        <w:autoSpaceDE/>
        <w:autoSpaceDN/>
        <w:bidi w:val="0"/>
        <w:adjustRightInd/>
        <w:snapToGrid/>
        <w:spacing w:line="360" w:lineRule="auto"/>
        <w:ind w:left="-60" w:leftChars="0" w:firstLine="480" w:firstLineChars="0"/>
        <w:textAlignment w:val="auto"/>
        <w:rPr>
          <w:rFonts w:hint="eastAsia" w:ascii="微软雅黑" w:hAnsi="微软雅黑" w:eastAsia="微软雅黑"/>
          <w:b/>
          <w:sz w:val="24"/>
          <w:szCs w:val="24"/>
        </w:rPr>
      </w:pPr>
      <w:r>
        <w:rPr>
          <w:rFonts w:hint="eastAsia" w:ascii="微软雅黑" w:hAnsi="微软雅黑" w:eastAsia="微软雅黑"/>
          <w:b/>
          <w:sz w:val="24"/>
          <w:szCs w:val="24"/>
        </w:rPr>
        <w:t>对</w:t>
      </w:r>
      <w:r>
        <w:rPr>
          <w:rFonts w:hint="eastAsia" w:ascii="微软雅黑" w:hAnsi="微软雅黑" w:eastAsia="微软雅黑"/>
          <w:b/>
          <w:sz w:val="24"/>
          <w:szCs w:val="24"/>
          <w:lang w:eastAsia="zh-CN"/>
        </w:rPr>
        <w:t>本基金会</w:t>
      </w:r>
      <w:r>
        <w:rPr>
          <w:rFonts w:hint="eastAsia" w:ascii="微软雅黑" w:hAnsi="微软雅黑" w:eastAsia="微软雅黑"/>
          <w:b/>
          <w:sz w:val="24"/>
          <w:szCs w:val="24"/>
        </w:rPr>
        <w:t>负责人的管理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sz w:val="24"/>
          <w:szCs w:val="24"/>
          <w:lang w:val="en-US" w:eastAsia="zh-CN"/>
        </w:rPr>
        <w:t>1.1</w:t>
      </w:r>
      <w:r>
        <w:rPr>
          <w:rFonts w:hint="eastAsia" w:ascii="宋体" w:hAnsi="宋体"/>
          <w:sz w:val="24"/>
          <w:szCs w:val="24"/>
        </w:rPr>
        <w:t>对</w:t>
      </w:r>
      <w:r>
        <w:rPr>
          <w:rFonts w:hint="eastAsia" w:ascii="宋体" w:hAnsi="宋体"/>
          <w:sz w:val="24"/>
          <w:szCs w:val="24"/>
          <w:lang w:eastAsia="zh-CN"/>
        </w:rPr>
        <w:t>本基金会</w:t>
      </w:r>
      <w:r>
        <w:rPr>
          <w:rFonts w:hint="eastAsia" w:ascii="宋体" w:hAnsi="宋体"/>
          <w:sz w:val="24"/>
          <w:szCs w:val="24"/>
        </w:rPr>
        <w:t>负责人任职前进行公示，履行法定代表人述职职责，并依法对法定代表人离任审计。</w:t>
      </w:r>
      <w:r>
        <w:rPr>
          <w:rFonts w:hint="eastAsia" w:ascii="宋体" w:hAnsi="宋体"/>
          <w:sz w:val="24"/>
          <w:szCs w:val="24"/>
          <w:lang w:eastAsia="zh-CN"/>
        </w:rPr>
        <w:t>本基金会</w:t>
      </w:r>
      <w:r>
        <w:rPr>
          <w:rFonts w:hint="eastAsia" w:ascii="宋体" w:hAnsi="宋体"/>
          <w:sz w:val="24"/>
          <w:szCs w:val="24"/>
        </w:rPr>
        <w:t>法定代表人为</w:t>
      </w:r>
      <w:r>
        <w:rPr>
          <w:rFonts w:hint="eastAsia" w:ascii="宋体" w:hAnsi="宋体"/>
          <w:sz w:val="24"/>
          <w:szCs w:val="24"/>
          <w:lang w:eastAsia="zh-CN"/>
        </w:rPr>
        <w:t>基金会</w:t>
      </w:r>
      <w:r>
        <w:rPr>
          <w:rFonts w:hint="eastAsia" w:ascii="宋体" w:hAnsi="宋体"/>
          <w:sz w:val="24"/>
          <w:szCs w:val="24"/>
        </w:rPr>
        <w:t>反腐倡廉工作第一责任人。</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60" w:leftChars="0" w:firstLine="480" w:firstLineChars="0"/>
        <w:jc w:val="left"/>
        <w:textAlignment w:val="auto"/>
        <w:rPr>
          <w:rFonts w:hint="eastAsia" w:ascii="微软雅黑" w:hAnsi="微软雅黑" w:eastAsia="微软雅黑"/>
          <w:b/>
          <w:sz w:val="24"/>
          <w:szCs w:val="24"/>
        </w:rPr>
      </w:pPr>
      <w:r>
        <w:rPr>
          <w:rFonts w:hint="eastAsia" w:ascii="微软雅黑" w:hAnsi="微软雅黑" w:eastAsia="微软雅黑"/>
          <w:b/>
          <w:sz w:val="24"/>
          <w:szCs w:val="24"/>
        </w:rPr>
        <w:t>民主管理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2.1以章程为核心，建立健全现代法人治理结构和运行机制。落实民主选举、差额选举制度，扩大直选范围。规范本基金会民主议事、民主决策的范围、程序和方法。涉及基金会人、财、物等重大事项的决策，要经过民主程序，不得由个人专断。</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2.2进行改选换届的理事会须有符合法定人数的理事出席方能召开，不得以通讯方式召开。理事会民主决议事项，以投票方式进行表决。发展社会民主，坚持民主议事、民主决策。</w:t>
      </w:r>
    </w:p>
    <w:p>
      <w:pPr>
        <w:keepNext w:val="0"/>
        <w:keepLines w:val="0"/>
        <w:pageBreakBefore w:val="0"/>
        <w:widowControl w:val="0"/>
        <w:numPr>
          <w:ilvl w:val="0"/>
          <w:numId w:val="1"/>
        </w:numPr>
        <w:tabs>
          <w:tab w:val="left" w:pos="0"/>
          <w:tab w:val="clear" w:pos="312"/>
        </w:tabs>
        <w:kinsoku/>
        <w:wordWrap/>
        <w:overflowPunct/>
        <w:topLinePunct w:val="0"/>
        <w:autoSpaceDE/>
        <w:autoSpaceDN/>
        <w:bidi w:val="0"/>
        <w:adjustRightInd/>
        <w:snapToGrid/>
        <w:spacing w:line="360" w:lineRule="auto"/>
        <w:ind w:left="-60" w:leftChars="0" w:firstLine="480" w:firstLineChars="0"/>
        <w:textAlignment w:val="auto"/>
        <w:rPr>
          <w:rFonts w:hint="eastAsia" w:ascii="微软雅黑" w:hAnsi="微软雅黑" w:eastAsia="微软雅黑"/>
          <w:b/>
          <w:sz w:val="24"/>
          <w:szCs w:val="24"/>
        </w:rPr>
      </w:pPr>
      <w:r>
        <w:rPr>
          <w:rFonts w:hint="eastAsia" w:ascii="微软雅黑" w:hAnsi="微软雅黑" w:eastAsia="微软雅黑"/>
          <w:b/>
          <w:sz w:val="24"/>
          <w:szCs w:val="24"/>
        </w:rPr>
        <w:t>加强</w:t>
      </w:r>
      <w:r>
        <w:rPr>
          <w:rFonts w:hint="eastAsia" w:ascii="微软雅黑" w:hAnsi="微软雅黑" w:eastAsia="微软雅黑"/>
          <w:b/>
          <w:sz w:val="24"/>
          <w:szCs w:val="24"/>
          <w:lang w:eastAsia="zh-CN"/>
        </w:rPr>
        <w:t>本基金会</w:t>
      </w:r>
      <w:r>
        <w:rPr>
          <w:rFonts w:hint="eastAsia" w:ascii="微软雅黑" w:hAnsi="微软雅黑" w:eastAsia="微软雅黑"/>
          <w:b/>
          <w:sz w:val="24"/>
          <w:szCs w:val="24"/>
        </w:rPr>
        <w:t>诚信建设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3.1践行社会组织的使命，彰显公益性和非营利性。结合自身能力，按章程规定开展业务活动；履约践诺，知行统一。围绕基金会的项目、捐赠信息等进行公开承诺；履行对捐赠者、支持者、合作伙伴的责任。开展诚信自律宣传教育，营造诚信自律的和谐氛围。</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3.2塑造诚信品牌，拓展诚信服务内容，创新诚信服务方式，不断提升诚信服务能力，积极履行社会责任。建立本基金会诚信制度，在本基金会内部大力弘扬“真善美”、摒弃“假恶丑”的传统文化氛围，加强员工社会公德、职业道德、家庭美德和个人品德教育。</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3.3通过电视、广播、报纸、网络等现代传播媒体学习诚信文化，加强诚信宣传引导作用。坚持个人守信奖赏与失信惩罚相结合的原则，通过各种奖惩机制引导员工诚实守信、遵德守礼，预防腐败现象发生。</w:t>
      </w:r>
    </w:p>
    <w:p>
      <w:pPr>
        <w:keepNext w:val="0"/>
        <w:keepLines w:val="0"/>
        <w:pageBreakBefore w:val="0"/>
        <w:widowControl w:val="0"/>
        <w:numPr>
          <w:ilvl w:val="0"/>
          <w:numId w:val="1"/>
        </w:numPr>
        <w:tabs>
          <w:tab w:val="left" w:pos="0"/>
          <w:tab w:val="clear" w:pos="312"/>
        </w:tabs>
        <w:kinsoku/>
        <w:wordWrap/>
        <w:overflowPunct/>
        <w:topLinePunct w:val="0"/>
        <w:autoSpaceDE/>
        <w:autoSpaceDN/>
        <w:bidi w:val="0"/>
        <w:adjustRightInd/>
        <w:snapToGrid/>
        <w:spacing w:line="360" w:lineRule="auto"/>
        <w:ind w:left="-60" w:leftChars="0" w:firstLine="480" w:firstLineChars="0"/>
        <w:textAlignment w:val="auto"/>
        <w:rPr>
          <w:rFonts w:hint="eastAsia" w:ascii="微软雅黑" w:hAnsi="微软雅黑" w:eastAsia="微软雅黑"/>
          <w:b/>
          <w:sz w:val="24"/>
          <w:szCs w:val="24"/>
        </w:rPr>
      </w:pPr>
      <w:r>
        <w:rPr>
          <w:rFonts w:hint="eastAsia" w:ascii="微软雅黑" w:hAnsi="微软雅黑" w:eastAsia="微软雅黑"/>
          <w:b/>
          <w:sz w:val="24"/>
          <w:szCs w:val="24"/>
        </w:rPr>
        <w:t>落实政社分开要求</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4.1基金会理事长、副理事长和秘书长不得由现职国家工作人员兼任；基金会的法定代表人，不得同时担任其他组织的法定代表人。</w:t>
      </w:r>
    </w:p>
    <w:p>
      <w:pPr>
        <w:keepNext w:val="0"/>
        <w:keepLines w:val="0"/>
        <w:pageBreakBefore w:val="0"/>
        <w:widowControl w:val="0"/>
        <w:numPr>
          <w:ilvl w:val="0"/>
          <w:numId w:val="1"/>
        </w:numPr>
        <w:tabs>
          <w:tab w:val="left" w:pos="0"/>
          <w:tab w:val="clear" w:pos="312"/>
        </w:tabs>
        <w:kinsoku/>
        <w:wordWrap/>
        <w:overflowPunct/>
        <w:topLinePunct w:val="0"/>
        <w:autoSpaceDE/>
        <w:autoSpaceDN/>
        <w:bidi w:val="0"/>
        <w:adjustRightInd/>
        <w:snapToGrid/>
        <w:spacing w:line="360" w:lineRule="auto"/>
        <w:ind w:left="-60" w:leftChars="0" w:firstLine="480" w:firstLineChars="0"/>
        <w:textAlignment w:val="auto"/>
        <w:rPr>
          <w:rFonts w:hint="eastAsia" w:ascii="微软雅黑" w:hAnsi="微软雅黑" w:eastAsia="微软雅黑"/>
          <w:b/>
          <w:sz w:val="24"/>
          <w:szCs w:val="24"/>
        </w:rPr>
      </w:pPr>
      <w:r>
        <w:rPr>
          <w:rFonts w:hint="eastAsia" w:ascii="微软雅黑" w:hAnsi="微软雅黑" w:eastAsia="微软雅黑"/>
          <w:b/>
          <w:sz w:val="24"/>
          <w:szCs w:val="24"/>
        </w:rPr>
        <w:t>严格规范</w:t>
      </w:r>
      <w:r>
        <w:rPr>
          <w:rFonts w:hint="eastAsia" w:ascii="微软雅黑" w:hAnsi="微软雅黑" w:eastAsia="微软雅黑"/>
          <w:b/>
          <w:sz w:val="24"/>
          <w:szCs w:val="24"/>
          <w:lang w:eastAsia="zh-CN"/>
        </w:rPr>
        <w:t>本基金会</w:t>
      </w:r>
      <w:r>
        <w:rPr>
          <w:rFonts w:hint="eastAsia" w:ascii="微软雅黑" w:hAnsi="微软雅黑" w:eastAsia="微软雅黑"/>
          <w:b/>
          <w:sz w:val="24"/>
          <w:szCs w:val="24"/>
        </w:rPr>
        <w:t>收费</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5.1本基金会面向社会或者服务对象开展有偿服务时，在以服务对象自愿接受服务的情况下报物价部门审批后合理收取服务费。本基金会承接政府转移职能和购买服务项目承接时，按要求设置合理的项目预算，并按项目预算执行。本基金会坚决不利用行政资源牟利、不利用行业数据、捐赠人和受赠人信息等不当牟利，坚决不违反规定设立评比达标表彰项目和进行收费，保证不派捐索捐、强拉赞助。</w:t>
      </w:r>
    </w:p>
    <w:p>
      <w:pPr>
        <w:keepNext w:val="0"/>
        <w:keepLines w:val="0"/>
        <w:pageBreakBefore w:val="0"/>
        <w:widowControl w:val="0"/>
        <w:numPr>
          <w:ilvl w:val="0"/>
          <w:numId w:val="1"/>
        </w:numPr>
        <w:tabs>
          <w:tab w:val="left" w:pos="0"/>
          <w:tab w:val="clear" w:pos="312"/>
        </w:tabs>
        <w:kinsoku/>
        <w:wordWrap/>
        <w:overflowPunct/>
        <w:topLinePunct w:val="0"/>
        <w:autoSpaceDE/>
        <w:autoSpaceDN/>
        <w:bidi w:val="0"/>
        <w:adjustRightInd/>
        <w:snapToGrid/>
        <w:spacing w:line="360" w:lineRule="auto"/>
        <w:ind w:left="-60" w:leftChars="0" w:firstLine="480" w:firstLineChars="0"/>
        <w:textAlignment w:val="auto"/>
        <w:rPr>
          <w:rFonts w:hint="eastAsia" w:ascii="微软雅黑" w:hAnsi="微软雅黑" w:eastAsia="微软雅黑"/>
          <w:b/>
          <w:sz w:val="24"/>
          <w:szCs w:val="24"/>
        </w:rPr>
      </w:pPr>
      <w:r>
        <w:rPr>
          <w:rFonts w:hint="eastAsia" w:ascii="微软雅黑" w:hAnsi="微软雅黑" w:eastAsia="微软雅黑"/>
          <w:b/>
          <w:sz w:val="24"/>
          <w:szCs w:val="24"/>
          <w:lang w:eastAsia="zh-CN"/>
        </w:rPr>
        <w:t>本基金会</w:t>
      </w:r>
      <w:r>
        <w:rPr>
          <w:rFonts w:hint="eastAsia" w:ascii="微软雅黑" w:hAnsi="微软雅黑" w:eastAsia="微软雅黑"/>
          <w:b/>
          <w:sz w:val="24"/>
          <w:szCs w:val="24"/>
        </w:rPr>
        <w:t>财务管理和资金监管</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6.1账户管理方面，将财务收支全部纳入本基金会法定账户，坚决杜绝使用其他单位或者个人的银行账户进行账户往来，不建账外账，不设“小金库”。 经费使用方面，本基金会对承接政府职能转移和政府购买服务的经费，保证专款专用，不违规使用。</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6.2本基金会各项收入除用于组织管理成本和其他合理支出外，全部用于章程规定的非营利性事业，保证盈余坚决不进行分配。人员管理方面，保证社会组织财务人员持证上岗，会计不兼任出纳，本基金会负责人直系亲属不担任会计、出纳。</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6.3本基金会严格执行《民间非营利组织会计制度》，按规定设置账目，进行会计核算，严格财务管理，并进行年度审计，对财务信息及时进行公开。严格管理大额经费开支和接受捐赠资助的资金，接受监管监测，避免个人占用和贪污情况的出现。</w:t>
      </w:r>
    </w:p>
    <w:p>
      <w:pPr>
        <w:keepNext w:val="0"/>
        <w:keepLines w:val="0"/>
        <w:pageBreakBefore w:val="0"/>
        <w:widowControl w:val="0"/>
        <w:numPr>
          <w:ilvl w:val="0"/>
          <w:numId w:val="1"/>
        </w:numPr>
        <w:tabs>
          <w:tab w:val="left" w:pos="0"/>
          <w:tab w:val="clear" w:pos="312"/>
        </w:tabs>
        <w:kinsoku/>
        <w:wordWrap/>
        <w:overflowPunct/>
        <w:topLinePunct w:val="0"/>
        <w:autoSpaceDE/>
        <w:autoSpaceDN/>
        <w:bidi w:val="0"/>
        <w:adjustRightInd/>
        <w:snapToGrid/>
        <w:spacing w:line="360" w:lineRule="auto"/>
        <w:ind w:left="-60" w:leftChars="0" w:firstLine="480" w:firstLineChars="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实行信息公开制度</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7.1内部监督方面，按照章程规定本基金会设立监事一名，建立健全内部监督约束机制，负责对本基金会的财务和理事会进行监督。本基金会理事会定期报告财务收支情况，自觉接受监事监督。</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sz w:val="24"/>
          <w:szCs w:val="24"/>
        </w:rPr>
      </w:pPr>
      <w:r>
        <w:rPr>
          <w:rFonts w:hint="eastAsia"/>
          <w:sz w:val="24"/>
          <w:szCs w:val="24"/>
          <w:lang w:val="en-US" w:eastAsia="zh-CN"/>
        </w:rPr>
        <w:t>7.2外部监督方面，按要求实行本基金会信息公开制度。主动承担社会责任并依法全面向社会公开本基金会以下信息：登记事项、章程、组织机构、接受捐赠情况、荣誉、承接政府职能转移以及政府购买服务事项等，接受新闻媒体、社会公众等的监督。主动向服务对象公开服务承若等信息。严格按照北京市民政局关于基金会的年度检查工作的通知，如实向登记管理机关报送年检材料，自觉接受民政部门的年度检查。弘扬正气，坚决抵制腐败的不正之风。</w:t>
      </w:r>
    </w:p>
    <w:p>
      <w:pPr>
        <w:keepNext w:val="0"/>
        <w:keepLines w:val="0"/>
        <w:pageBreakBefore w:val="0"/>
        <w:widowControl w:val="0"/>
        <w:numPr>
          <w:ilvl w:val="0"/>
          <w:numId w:val="1"/>
        </w:numPr>
        <w:tabs>
          <w:tab w:val="left" w:pos="0"/>
          <w:tab w:val="clear" w:pos="312"/>
        </w:tabs>
        <w:kinsoku/>
        <w:wordWrap/>
        <w:overflowPunct/>
        <w:topLinePunct w:val="0"/>
        <w:autoSpaceDE/>
        <w:autoSpaceDN/>
        <w:bidi w:val="0"/>
        <w:adjustRightInd/>
        <w:snapToGrid/>
        <w:spacing w:line="360" w:lineRule="auto"/>
        <w:ind w:left="-60" w:leftChars="0" w:firstLine="480" w:firstLineChars="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审计</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8.1按照要求定期由会计师事务所或者审计机构对本基金会进行审计。按要求进行年度审计、换届审计和法定代表人离任审计，并将结论报告监事，以防腐败事件发生。</w:t>
      </w:r>
    </w:p>
    <w:p>
      <w:pPr>
        <w:keepNext w:val="0"/>
        <w:keepLines w:val="0"/>
        <w:pageBreakBefore w:val="0"/>
        <w:widowControl w:val="0"/>
        <w:numPr>
          <w:ilvl w:val="0"/>
          <w:numId w:val="1"/>
        </w:numPr>
        <w:tabs>
          <w:tab w:val="left" w:pos="0"/>
          <w:tab w:val="clear" w:pos="312"/>
        </w:tabs>
        <w:kinsoku/>
        <w:wordWrap/>
        <w:overflowPunct/>
        <w:topLinePunct w:val="0"/>
        <w:autoSpaceDE/>
        <w:autoSpaceDN/>
        <w:bidi w:val="0"/>
        <w:adjustRightInd/>
        <w:snapToGrid/>
        <w:spacing w:line="360" w:lineRule="auto"/>
        <w:ind w:left="-60" w:leftChars="0" w:firstLine="480" w:firstLineChars="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val="en-US" w:eastAsia="zh-CN"/>
        </w:rPr>
        <w:t>加强</w:t>
      </w:r>
      <w:r>
        <w:rPr>
          <w:rFonts w:hint="eastAsia" w:ascii="微软雅黑" w:hAnsi="微软雅黑" w:eastAsia="微软雅黑"/>
          <w:b/>
          <w:sz w:val="24"/>
          <w:szCs w:val="24"/>
          <w:lang w:eastAsia="zh-CN"/>
        </w:rPr>
        <w:t>廉政自律教育</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9.1加强本基金会廉洁自律教育，开展中国特色社会主义理论、理想信念、宗旨教育、社会主义核心价值体系、党纪国法等学习。牢固树立“不敢腐、不能腐、不想腐”的思想，完善本基金会内部治理结构，促进本基金会自治自律水平、阳光透明运行和廉洁诚信建设。推动党员干部严格执行廉洁自律规定，落实党内监督制度，充分发挥党员干部的模范引导作用。</w:t>
      </w:r>
    </w:p>
    <w:p>
      <w:pPr>
        <w:keepNext w:val="0"/>
        <w:keepLines w:val="0"/>
        <w:pageBreakBefore w:val="0"/>
        <w:widowControl w:val="0"/>
        <w:numPr>
          <w:ilvl w:val="0"/>
          <w:numId w:val="1"/>
        </w:numPr>
        <w:tabs>
          <w:tab w:val="left" w:pos="0"/>
          <w:tab w:val="clear" w:pos="312"/>
        </w:tabs>
        <w:kinsoku/>
        <w:wordWrap/>
        <w:overflowPunct/>
        <w:topLinePunct w:val="0"/>
        <w:autoSpaceDE/>
        <w:autoSpaceDN/>
        <w:bidi w:val="0"/>
        <w:adjustRightInd/>
        <w:snapToGrid/>
        <w:spacing w:line="360" w:lineRule="auto"/>
        <w:ind w:left="-60" w:leftChars="0" w:firstLine="480" w:firstLineChars="0"/>
        <w:textAlignment w:val="auto"/>
        <w:rPr>
          <w:rFonts w:hint="eastAsia" w:ascii="微软雅黑" w:hAnsi="微软雅黑" w:eastAsia="微软雅黑"/>
          <w:b/>
          <w:sz w:val="24"/>
          <w:szCs w:val="24"/>
          <w:lang w:val="en-US" w:eastAsia="zh-CN"/>
        </w:rPr>
      </w:pPr>
      <w:r>
        <w:rPr>
          <w:rFonts w:hint="eastAsia" w:ascii="微软雅黑" w:hAnsi="微软雅黑" w:eastAsia="微软雅黑"/>
          <w:b/>
          <w:sz w:val="24"/>
          <w:szCs w:val="24"/>
          <w:lang w:val="en-US" w:eastAsia="zh-CN"/>
        </w:rPr>
        <w:t xml:space="preserve"> 廉洁文化建设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10.1开展反腐倡廉工作，把廉洁的规定和要求纳入到本基金会规章制度之中，建立“以廉为荣、以廉为美、以廉为乐”的“崇廉尚洁”的廉洁文化观念，充分发挥党员模范带头、示范和指导作用，以身作则推进本基金会廉洁文化建设，将廉洁自律理念融入到各项工作中。促进员工树立正确的世界观、人生观、价值观和正确的地位观、权力观、利益观，为反腐倡廉提供智力支持和思想保证。</w:t>
      </w:r>
    </w:p>
    <w:p>
      <w:pPr>
        <w:keepNext w:val="0"/>
        <w:keepLines w:val="0"/>
        <w:pageBreakBefore w:val="0"/>
        <w:widowControl w:val="0"/>
        <w:numPr>
          <w:ilvl w:val="0"/>
          <w:numId w:val="1"/>
        </w:numPr>
        <w:tabs>
          <w:tab w:val="left" w:pos="0"/>
          <w:tab w:val="clear" w:pos="312"/>
        </w:tabs>
        <w:kinsoku/>
        <w:wordWrap/>
        <w:overflowPunct/>
        <w:topLinePunct w:val="0"/>
        <w:autoSpaceDE/>
        <w:autoSpaceDN/>
        <w:bidi w:val="0"/>
        <w:adjustRightInd/>
        <w:snapToGrid/>
        <w:spacing w:line="360" w:lineRule="auto"/>
        <w:ind w:left="-60" w:leftChars="0" w:firstLine="480" w:firstLineChars="0"/>
        <w:textAlignment w:val="auto"/>
        <w:rPr>
          <w:rFonts w:hint="eastAsia" w:ascii="微软雅黑" w:hAnsi="微软雅黑" w:eastAsia="微软雅黑"/>
          <w:b/>
          <w:sz w:val="24"/>
          <w:szCs w:val="24"/>
          <w:lang w:val="en-US" w:eastAsia="zh-CN"/>
        </w:rPr>
      </w:pPr>
      <w:r>
        <w:rPr>
          <w:rFonts w:hint="eastAsia" w:ascii="微软雅黑" w:hAnsi="微软雅黑" w:eastAsia="微软雅黑"/>
          <w:b/>
          <w:sz w:val="24"/>
          <w:szCs w:val="24"/>
          <w:lang w:val="en-US" w:eastAsia="zh-CN"/>
        </w:rPr>
        <w:t>党风廉政建设</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11.1按照“有党员就要有组织、有组织就要有活动，有活动就要发挥作用”的要求，建立健全党组织，在党员中开展反腐倡廉教育，积极宣传党风廉政建设和反腐败工作的方针政策，加强党风廉政建设和党内监督工作，自觉接受党的监督，强化党内监督。深入开展党员中国特色社会主义和中国梦教育、理想信念和宗旨教育、社会主义核心价值体系教育，廉政法规和道德教育，增强遵守党纪国法、加强自我教育和管理的自觉性，坚持标准发展党员，充分发挥党的政治保证作用和党员的先锋模范作用，保持党的纯洁性和先进性。</w:t>
      </w: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lang w:val="en-US" w:eastAsia="zh-CN"/>
        </w:rPr>
        <w:t>12.</w:t>
      </w:r>
      <w:r>
        <w:rPr>
          <w:rFonts w:hint="eastAsia" w:ascii="微软雅黑" w:hAnsi="微软雅黑" w:eastAsia="微软雅黑"/>
          <w:b/>
          <w:sz w:val="24"/>
          <w:szCs w:val="24"/>
        </w:rPr>
        <w:t>附则</w:t>
      </w:r>
    </w:p>
    <w:p>
      <w:pPr>
        <w:spacing w:line="360" w:lineRule="auto"/>
        <w:ind w:firstLine="480" w:firstLineChars="200"/>
        <w:rPr>
          <w:sz w:val="24"/>
          <w:szCs w:val="24"/>
        </w:rPr>
      </w:pPr>
      <w:r>
        <w:rPr>
          <w:rFonts w:hint="eastAsia"/>
          <w:sz w:val="24"/>
          <w:szCs w:val="24"/>
        </w:rPr>
        <w:t>本制度由</w:t>
      </w:r>
      <w:r>
        <w:rPr>
          <w:rFonts w:hint="eastAsia"/>
          <w:sz w:val="24"/>
          <w:szCs w:val="24"/>
          <w:lang w:eastAsia="zh-CN"/>
        </w:rPr>
        <w:t>北京天地文化发展</w:t>
      </w:r>
      <w:r>
        <w:rPr>
          <w:rFonts w:hint="eastAsia"/>
          <w:sz w:val="24"/>
          <w:szCs w:val="24"/>
        </w:rPr>
        <w:t>基金会负责解释</w:t>
      </w:r>
    </w:p>
    <w:p>
      <w:pPr>
        <w:keepNext w:val="0"/>
        <w:keepLines w:val="0"/>
        <w:pageBreakBefore w:val="0"/>
        <w:widowControl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sz w:val="24"/>
          <w:szCs w:val="24"/>
        </w:rPr>
      </w:pPr>
    </w:p>
    <w:p>
      <w:pPr>
        <w:keepNext w:val="0"/>
        <w:keepLines w:val="0"/>
        <w:pageBreakBefore w:val="0"/>
        <w:widowControl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sz w:val="24"/>
          <w:szCs w:val="24"/>
        </w:rPr>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outlineLvl w:val="1"/>
        <w:rPr>
          <w:rFonts w:asciiTheme="minorEastAsia" w:hAnsiTheme="minorEastAsia"/>
          <w:sz w:val="24"/>
          <w:szCs w:val="24"/>
        </w:rPr>
      </w:pPr>
      <w:bookmarkStart w:id="47" w:name="_Toc403829197"/>
      <w:bookmarkStart w:id="48" w:name="_Toc17386"/>
      <w:r>
        <w:rPr>
          <w:rFonts w:hint="eastAsia" w:asciiTheme="minorEastAsia" w:hAnsiTheme="minorEastAsia"/>
          <w:sz w:val="24"/>
          <w:szCs w:val="24"/>
        </w:rPr>
        <w:t>附件2-1：《礼品/纪念品申领表》</w:t>
      </w:r>
      <w:bookmarkEnd w:id="47"/>
      <w:bookmarkEnd w:id="48"/>
    </w:p>
    <w:p>
      <w:pPr>
        <w:spacing w:after="360" w:line="360" w:lineRule="auto"/>
        <w:ind w:firstLine="560" w:firstLineChars="200"/>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基金会礼品/纪念品申领表</w:t>
      </w:r>
    </w:p>
    <w:tbl>
      <w:tblPr>
        <w:tblStyle w:val="9"/>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408"/>
        <w:gridCol w:w="1562"/>
        <w:gridCol w:w="139"/>
        <w:gridCol w:w="2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ind w:right="-105"/>
              <w:jc w:val="center"/>
              <w:rPr>
                <w:rFonts w:ascii="宋体" w:hAnsi="宋体"/>
                <w:bCs/>
                <w:sz w:val="24"/>
              </w:rPr>
            </w:pPr>
            <w:r>
              <w:rPr>
                <w:rFonts w:hint="eastAsia" w:ascii="宋体" w:hAnsi="宋体"/>
                <w:bCs/>
                <w:kern w:val="0"/>
                <w:sz w:val="24"/>
              </w:rPr>
              <w:t>申请人</w:t>
            </w:r>
          </w:p>
        </w:tc>
        <w:tc>
          <w:tcPr>
            <w:tcW w:w="2408" w:type="dxa"/>
            <w:tcBorders>
              <w:top w:val="single" w:color="auto" w:sz="6" w:space="0"/>
              <w:left w:val="single" w:color="auto" w:sz="6" w:space="0"/>
              <w:bottom w:val="single" w:color="auto" w:sz="4" w:space="0"/>
              <w:right w:val="single" w:color="auto" w:sz="4" w:space="0"/>
            </w:tcBorders>
            <w:vAlign w:val="center"/>
          </w:tcPr>
          <w:p>
            <w:pPr>
              <w:spacing w:line="360" w:lineRule="auto"/>
              <w:ind w:right="-108" w:firstLine="480" w:firstLineChars="200"/>
              <w:jc w:val="center"/>
              <w:rPr>
                <w:rFonts w:ascii="宋体" w:hAnsi="宋体"/>
                <w:bCs/>
                <w:sz w:val="24"/>
              </w:rPr>
            </w:pPr>
          </w:p>
        </w:tc>
        <w:tc>
          <w:tcPr>
            <w:tcW w:w="1562" w:type="dxa"/>
            <w:tcBorders>
              <w:top w:val="single" w:color="auto" w:sz="6" w:space="0"/>
              <w:left w:val="single" w:color="auto" w:sz="4" w:space="0"/>
              <w:bottom w:val="single" w:color="auto" w:sz="4" w:space="0"/>
              <w:right w:val="single" w:color="auto" w:sz="4" w:space="0"/>
            </w:tcBorders>
            <w:vAlign w:val="center"/>
          </w:tcPr>
          <w:p>
            <w:pPr>
              <w:spacing w:line="360" w:lineRule="auto"/>
              <w:ind w:right="-108"/>
              <w:jc w:val="center"/>
              <w:rPr>
                <w:rFonts w:ascii="宋体" w:hAnsi="宋体"/>
                <w:bCs/>
                <w:sz w:val="24"/>
              </w:rPr>
            </w:pPr>
            <w:r>
              <w:rPr>
                <w:rFonts w:hint="eastAsia" w:ascii="宋体" w:hAnsi="宋体"/>
                <w:bCs/>
                <w:sz w:val="24"/>
              </w:rPr>
              <w:t>申请部门</w:t>
            </w:r>
          </w:p>
        </w:tc>
        <w:tc>
          <w:tcPr>
            <w:tcW w:w="3117" w:type="dxa"/>
            <w:gridSpan w:val="2"/>
            <w:tcBorders>
              <w:top w:val="single" w:color="auto" w:sz="6" w:space="0"/>
              <w:left w:val="single" w:color="auto" w:sz="4" w:space="0"/>
              <w:bottom w:val="single" w:color="auto" w:sz="4" w:space="0"/>
              <w:right w:val="single" w:color="auto" w:sz="4" w:space="0"/>
            </w:tcBorders>
            <w:vAlign w:val="center"/>
          </w:tcPr>
          <w:p>
            <w:pPr>
              <w:spacing w:line="360" w:lineRule="auto"/>
              <w:ind w:right="-108"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ind w:right="-105"/>
              <w:jc w:val="center"/>
              <w:rPr>
                <w:rFonts w:ascii="宋体" w:hAnsi="宋体"/>
                <w:bCs/>
                <w:kern w:val="0"/>
                <w:sz w:val="24"/>
              </w:rPr>
            </w:pPr>
            <w:r>
              <w:rPr>
                <w:rFonts w:hint="eastAsia" w:ascii="宋体" w:hAnsi="宋体"/>
                <w:bCs/>
                <w:kern w:val="0"/>
                <w:sz w:val="24"/>
              </w:rPr>
              <w:t>申领物品类型</w:t>
            </w:r>
          </w:p>
          <w:p>
            <w:pPr>
              <w:spacing w:line="360" w:lineRule="auto"/>
              <w:ind w:right="-105"/>
              <w:jc w:val="center"/>
              <w:rPr>
                <w:rFonts w:ascii="宋体" w:hAnsi="宋体"/>
                <w:bCs/>
                <w:kern w:val="0"/>
                <w:sz w:val="24"/>
              </w:rPr>
            </w:pPr>
            <w:r>
              <w:rPr>
                <w:rFonts w:hint="eastAsia" w:ascii="宋体" w:hAnsi="宋体"/>
                <w:bCs/>
                <w:kern w:val="0"/>
                <w:sz w:val="24"/>
              </w:rPr>
              <w:t>及数量</w:t>
            </w:r>
          </w:p>
        </w:tc>
        <w:tc>
          <w:tcPr>
            <w:tcW w:w="7087" w:type="dxa"/>
            <w:gridSpan w:val="4"/>
            <w:tcBorders>
              <w:top w:val="single" w:color="auto" w:sz="4"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ind w:right="-105"/>
              <w:jc w:val="center"/>
              <w:rPr>
                <w:rFonts w:ascii="宋体" w:hAnsi="宋体"/>
                <w:bCs/>
                <w:kern w:val="0"/>
                <w:sz w:val="24"/>
              </w:rPr>
            </w:pPr>
            <w:r>
              <w:rPr>
                <w:rFonts w:hint="eastAsia" w:ascii="宋体" w:hAnsi="宋体"/>
                <w:bCs/>
                <w:sz w:val="24"/>
              </w:rPr>
              <w:t>申请原因</w:t>
            </w:r>
          </w:p>
        </w:tc>
        <w:tc>
          <w:tcPr>
            <w:tcW w:w="7087" w:type="dxa"/>
            <w:gridSpan w:val="4"/>
            <w:tcBorders>
              <w:top w:val="single" w:color="auto" w:sz="4"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sz w:val="24"/>
              </w:rPr>
            </w:pPr>
            <w:r>
              <w:rPr>
                <w:rFonts w:hint="eastAsia" w:ascii="宋体" w:hAnsi="宋体"/>
                <w:kern w:val="0"/>
                <w:sz w:val="24"/>
              </w:rPr>
              <w:t>申请人签字</w:t>
            </w:r>
          </w:p>
        </w:tc>
        <w:tc>
          <w:tcPr>
            <w:tcW w:w="2408" w:type="dxa"/>
            <w:tcBorders>
              <w:top w:val="single" w:color="auto" w:sz="6" w:space="0"/>
              <w:left w:val="single" w:color="auto" w:sz="6" w:space="0"/>
              <w:bottom w:val="single" w:color="auto" w:sz="6" w:space="0"/>
              <w:right w:val="single" w:color="auto" w:sz="6" w:space="0"/>
            </w:tcBorders>
            <w:vAlign w:val="center"/>
          </w:tcPr>
          <w:p>
            <w:pPr>
              <w:spacing w:line="360" w:lineRule="auto"/>
              <w:ind w:left="-103" w:leftChars="-49" w:right="-105" w:firstLine="480" w:firstLineChars="200"/>
              <w:jc w:val="center"/>
              <w:rPr>
                <w:rFonts w:ascii="宋体" w:hAnsi="宋体"/>
                <w:bCs/>
                <w:sz w:val="24"/>
              </w:rPr>
            </w:pPr>
          </w:p>
          <w:p>
            <w:pPr>
              <w:spacing w:line="360" w:lineRule="auto"/>
              <w:ind w:left="-103" w:leftChars="-49" w:right="-105" w:firstLine="480" w:firstLineChars="200"/>
              <w:jc w:val="center"/>
              <w:rPr>
                <w:rFonts w:ascii="宋体" w:hAnsi="宋体"/>
                <w:bCs/>
                <w:sz w:val="24"/>
              </w:rPr>
            </w:pPr>
          </w:p>
        </w:tc>
        <w:tc>
          <w:tcPr>
            <w:tcW w:w="1701" w:type="dxa"/>
            <w:gridSpan w:val="2"/>
            <w:tcBorders>
              <w:top w:val="single" w:color="auto" w:sz="6" w:space="0"/>
              <w:left w:val="single" w:color="auto" w:sz="6" w:space="0"/>
              <w:bottom w:val="single" w:color="auto" w:sz="6" w:space="0"/>
              <w:right w:val="single" w:color="auto" w:sz="6" w:space="0"/>
            </w:tcBorders>
            <w:vAlign w:val="center"/>
          </w:tcPr>
          <w:p>
            <w:pPr>
              <w:spacing w:line="360" w:lineRule="auto"/>
              <w:ind w:right="-105"/>
              <w:jc w:val="center"/>
              <w:rPr>
                <w:rFonts w:ascii="宋体" w:hAnsi="宋体"/>
                <w:bCs/>
                <w:sz w:val="24"/>
              </w:rPr>
            </w:pPr>
            <w:r>
              <w:rPr>
                <w:rFonts w:hint="eastAsia" w:ascii="宋体" w:hAnsi="宋体"/>
                <w:sz w:val="24"/>
              </w:rPr>
              <w:t>申请时间</w:t>
            </w:r>
          </w:p>
        </w:tc>
        <w:tc>
          <w:tcPr>
            <w:tcW w:w="2978" w:type="dxa"/>
            <w:tcBorders>
              <w:top w:val="single" w:color="auto" w:sz="6"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kern w:val="0"/>
                <w:sz w:val="24"/>
              </w:rPr>
            </w:pPr>
            <w:r>
              <w:rPr>
                <w:rFonts w:hint="eastAsia" w:ascii="宋体" w:hAnsi="宋体"/>
                <w:kern w:val="0"/>
                <w:sz w:val="24"/>
              </w:rPr>
              <w:t>主管领导</w:t>
            </w:r>
          </w:p>
          <w:p>
            <w:pPr>
              <w:spacing w:line="360" w:lineRule="auto"/>
              <w:jc w:val="center"/>
              <w:rPr>
                <w:rFonts w:ascii="宋体" w:hAnsi="宋体"/>
                <w:kern w:val="0"/>
                <w:sz w:val="24"/>
              </w:rPr>
            </w:pPr>
            <w:r>
              <w:rPr>
                <w:rFonts w:hint="eastAsia" w:ascii="宋体" w:hAnsi="宋体"/>
                <w:kern w:val="0"/>
                <w:sz w:val="24"/>
              </w:rPr>
              <w:t>意见</w:t>
            </w:r>
          </w:p>
        </w:tc>
        <w:tc>
          <w:tcPr>
            <w:tcW w:w="7087" w:type="dxa"/>
            <w:gridSpan w:val="4"/>
            <w:tcBorders>
              <w:top w:val="single" w:color="auto" w:sz="6"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tc>
      </w:tr>
    </w:tbl>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outlineLvl w:val="1"/>
        <w:rPr>
          <w:rFonts w:asciiTheme="minorEastAsia" w:hAnsiTheme="minorEastAsia"/>
          <w:sz w:val="24"/>
          <w:szCs w:val="24"/>
        </w:rPr>
      </w:pPr>
      <w:bookmarkStart w:id="49" w:name="_Toc403829198"/>
      <w:bookmarkStart w:id="50" w:name="_Toc29829"/>
      <w:r>
        <w:rPr>
          <w:rFonts w:hint="eastAsia" w:asciiTheme="minorEastAsia" w:hAnsiTheme="minorEastAsia"/>
          <w:sz w:val="24"/>
          <w:szCs w:val="24"/>
        </w:rPr>
        <w:t>附件3-1：《理事会会议纪要》</w:t>
      </w:r>
      <w:bookmarkEnd w:id="49"/>
      <w:bookmarkEnd w:id="50"/>
    </w:p>
    <w:p>
      <w:pPr>
        <w:spacing w:after="360"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天地基金会</w:t>
      </w:r>
      <w:r>
        <w:rPr>
          <w:rFonts w:hint="eastAsia" w:ascii="微软雅黑" w:hAnsi="微软雅黑" w:eastAsia="微软雅黑"/>
          <w:b/>
          <w:sz w:val="28"/>
          <w:szCs w:val="28"/>
        </w:rPr>
        <w:t>第X届第X次理事会</w:t>
      </w:r>
      <w:r>
        <w:rPr>
          <w:rFonts w:ascii="微软雅黑" w:hAnsi="微软雅黑" w:eastAsia="微软雅黑"/>
          <w:b/>
          <w:sz w:val="28"/>
          <w:szCs w:val="28"/>
        </w:rPr>
        <w:t>会议纪要</w:t>
      </w:r>
    </w:p>
    <w:tbl>
      <w:tblPr>
        <w:tblStyle w:val="9"/>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134"/>
        <w:gridCol w:w="1559"/>
        <w:gridCol w:w="1701"/>
        <w:gridCol w:w="1560"/>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8" w:type="dxa"/>
            <w:tcBorders>
              <w:top w:val="single" w:color="auto" w:sz="4" w:space="0"/>
              <w:left w:val="single" w:color="auto" w:sz="4" w:space="0"/>
              <w:bottom w:val="single" w:color="auto" w:sz="6" w:space="0"/>
              <w:right w:val="single" w:color="auto" w:sz="6" w:space="0"/>
            </w:tcBorders>
          </w:tcPr>
          <w:p>
            <w:pPr>
              <w:spacing w:line="360" w:lineRule="auto"/>
              <w:ind w:left="-105" w:leftChars="-50" w:right="-108"/>
              <w:rPr>
                <w:rFonts w:ascii="宋体" w:hAnsi="宋体"/>
                <w:bCs/>
                <w:sz w:val="24"/>
              </w:rPr>
            </w:pPr>
            <w:r>
              <w:rPr>
                <w:rFonts w:ascii="宋体" w:hAnsi="宋体"/>
                <w:bCs/>
                <w:sz w:val="24"/>
              </w:rPr>
              <w:t>基金会名称</w:t>
            </w:r>
          </w:p>
        </w:tc>
        <w:tc>
          <w:tcPr>
            <w:tcW w:w="7088" w:type="dxa"/>
            <w:gridSpan w:val="5"/>
            <w:tcBorders>
              <w:top w:val="single" w:color="auto" w:sz="4" w:space="0"/>
              <w:left w:val="single" w:color="auto" w:sz="6" w:space="0"/>
              <w:bottom w:val="single" w:color="auto" w:sz="6" w:space="0"/>
              <w:right w:val="single" w:color="auto" w:sz="4" w:space="0"/>
            </w:tcBorders>
            <w:vAlign w:val="center"/>
          </w:tcPr>
          <w:p>
            <w:pPr>
              <w:spacing w:line="360" w:lineRule="auto"/>
              <w:ind w:right="-108" w:firstLine="480" w:firstLineChars="200"/>
              <w:jc w:val="center"/>
              <w:rPr>
                <w:rFonts w:ascii="宋体" w:hAnsi="宋体"/>
                <w:bCs/>
                <w:sz w:val="24"/>
              </w:rPr>
            </w:pPr>
            <w:r>
              <w:rPr>
                <w:rFonts w:hint="eastAsia" w:ascii="宋体" w:hAnsi="宋体"/>
                <w:bCs/>
                <w:sz w:val="24"/>
                <w:lang w:eastAsia="zh-CN"/>
              </w:rPr>
              <w:t>北京天地文化发展</w:t>
            </w:r>
            <w:r>
              <w:rPr>
                <w:rFonts w:hint="eastAsia" w:ascii="宋体" w:hAnsi="宋体"/>
                <w:bCs/>
                <w:sz w:val="24"/>
              </w:rPr>
              <w:t>基金会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8"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rPr>
                <w:rFonts w:ascii="宋体" w:hAnsi="宋体"/>
                <w:bCs/>
                <w:sz w:val="24"/>
              </w:rPr>
            </w:pPr>
            <w:r>
              <w:rPr>
                <w:rFonts w:hint="eastAsia" w:ascii="宋体" w:hAnsi="宋体"/>
                <w:bCs/>
                <w:kern w:val="0"/>
                <w:sz w:val="24"/>
              </w:rPr>
              <w:t>会议名称</w:t>
            </w:r>
          </w:p>
        </w:tc>
        <w:tc>
          <w:tcPr>
            <w:tcW w:w="7088" w:type="dxa"/>
            <w:gridSpan w:val="5"/>
            <w:tcBorders>
              <w:top w:val="single" w:color="auto" w:sz="6" w:space="0"/>
              <w:left w:val="single" w:color="auto" w:sz="6" w:space="0"/>
              <w:bottom w:val="single" w:color="auto" w:sz="4" w:space="0"/>
              <w:right w:val="single" w:color="auto" w:sz="4" w:space="0"/>
            </w:tcBorders>
            <w:vAlign w:val="center"/>
          </w:tcPr>
          <w:p>
            <w:pPr>
              <w:spacing w:line="360" w:lineRule="auto"/>
              <w:ind w:right="-108" w:firstLine="480" w:firstLineChars="200"/>
              <w:jc w:val="center"/>
              <w:rPr>
                <w:rFonts w:ascii="宋体" w:hAnsi="宋体"/>
                <w:bCs/>
                <w:sz w:val="24"/>
              </w:rPr>
            </w:pPr>
            <w:r>
              <w:rPr>
                <w:rFonts w:hint="eastAsia" w:ascii="宋体" w:hAnsi="宋体"/>
                <w:bCs/>
                <w:sz w:val="24"/>
              </w:rPr>
              <w:t>第X届第X次理事会会议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rPr>
                <w:rFonts w:ascii="宋体" w:hAnsi="宋体"/>
                <w:bCs/>
                <w:sz w:val="24"/>
              </w:rPr>
            </w:pPr>
            <w:r>
              <w:rPr>
                <w:rFonts w:ascii="宋体" w:hAnsi="宋体"/>
                <w:bCs/>
                <w:kern w:val="0"/>
                <w:sz w:val="24"/>
              </w:rPr>
              <w:t>会议时间</w:t>
            </w:r>
          </w:p>
        </w:tc>
        <w:tc>
          <w:tcPr>
            <w:tcW w:w="1134" w:type="dxa"/>
            <w:tcBorders>
              <w:top w:val="single" w:color="auto" w:sz="4" w:space="0"/>
              <w:left w:val="single" w:color="auto" w:sz="6" w:space="0"/>
              <w:bottom w:val="single" w:color="auto" w:sz="6" w:space="0"/>
              <w:right w:val="single" w:color="auto" w:sz="6" w:space="0"/>
            </w:tcBorders>
          </w:tcPr>
          <w:p>
            <w:pPr>
              <w:spacing w:line="360" w:lineRule="auto"/>
              <w:ind w:right="-105" w:firstLine="480" w:firstLineChars="200"/>
              <w:jc w:val="center"/>
              <w:rPr>
                <w:rFonts w:ascii="宋体" w:hAnsi="宋体"/>
                <w:bCs/>
                <w:sz w:val="24"/>
              </w:rPr>
            </w:pPr>
          </w:p>
        </w:tc>
        <w:tc>
          <w:tcPr>
            <w:tcW w:w="1559" w:type="dxa"/>
            <w:tcBorders>
              <w:top w:val="single" w:color="auto" w:sz="4" w:space="0"/>
              <w:left w:val="single" w:color="auto" w:sz="6" w:space="0"/>
              <w:bottom w:val="single" w:color="auto" w:sz="6" w:space="0"/>
              <w:right w:val="single" w:color="auto" w:sz="6" w:space="0"/>
            </w:tcBorders>
          </w:tcPr>
          <w:p>
            <w:pPr>
              <w:spacing w:line="360" w:lineRule="auto"/>
              <w:ind w:right="-105"/>
              <w:rPr>
                <w:rFonts w:ascii="宋体" w:hAnsi="宋体"/>
                <w:bCs/>
                <w:sz w:val="24"/>
              </w:rPr>
            </w:pPr>
            <w:r>
              <w:rPr>
                <w:rFonts w:ascii="宋体" w:hAnsi="宋体"/>
                <w:bCs/>
                <w:sz w:val="24"/>
              </w:rPr>
              <w:t>会议地点</w:t>
            </w:r>
          </w:p>
        </w:tc>
        <w:tc>
          <w:tcPr>
            <w:tcW w:w="1701" w:type="dxa"/>
            <w:tcBorders>
              <w:top w:val="single" w:color="auto" w:sz="4" w:space="0"/>
              <w:left w:val="single" w:color="auto" w:sz="6" w:space="0"/>
              <w:bottom w:val="single" w:color="auto" w:sz="6" w:space="0"/>
              <w:right w:val="single" w:color="auto" w:sz="6" w:space="0"/>
            </w:tcBorders>
          </w:tcPr>
          <w:p>
            <w:pPr>
              <w:spacing w:line="360" w:lineRule="auto"/>
              <w:ind w:right="-105" w:firstLine="480" w:firstLineChars="200"/>
              <w:jc w:val="center"/>
              <w:rPr>
                <w:rFonts w:ascii="宋体" w:hAnsi="宋体"/>
                <w:bCs/>
                <w:sz w:val="24"/>
              </w:rPr>
            </w:pPr>
          </w:p>
        </w:tc>
        <w:tc>
          <w:tcPr>
            <w:tcW w:w="1560" w:type="dxa"/>
            <w:tcBorders>
              <w:top w:val="single" w:color="auto" w:sz="4" w:space="0"/>
              <w:left w:val="single" w:color="auto" w:sz="6" w:space="0"/>
              <w:bottom w:val="single" w:color="auto" w:sz="6" w:space="0"/>
              <w:right w:val="single" w:color="auto" w:sz="6" w:space="0"/>
            </w:tcBorders>
          </w:tcPr>
          <w:p>
            <w:pPr>
              <w:spacing w:line="360" w:lineRule="auto"/>
              <w:ind w:right="-105"/>
              <w:rPr>
                <w:rFonts w:ascii="宋体" w:hAnsi="宋体"/>
                <w:bCs/>
                <w:sz w:val="24"/>
              </w:rPr>
            </w:pPr>
            <w:r>
              <w:rPr>
                <w:rFonts w:ascii="宋体" w:hAnsi="宋体"/>
                <w:bCs/>
                <w:sz w:val="24"/>
              </w:rPr>
              <w:t>表决形式</w:t>
            </w:r>
          </w:p>
        </w:tc>
        <w:tc>
          <w:tcPr>
            <w:tcW w:w="1134" w:type="dxa"/>
            <w:tcBorders>
              <w:top w:val="single" w:color="auto" w:sz="4" w:space="0"/>
              <w:left w:val="single" w:color="auto" w:sz="6" w:space="0"/>
              <w:bottom w:val="single" w:color="auto" w:sz="6" w:space="0"/>
              <w:right w:val="single" w:color="auto" w:sz="4" w:space="0"/>
            </w:tcBorders>
          </w:tcPr>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rPr>
                <w:rFonts w:ascii="宋体" w:hAnsi="宋体"/>
                <w:bCs/>
                <w:kern w:val="0"/>
                <w:sz w:val="24"/>
              </w:rPr>
            </w:pPr>
            <w:r>
              <w:rPr>
                <w:rFonts w:hint="eastAsia" w:ascii="宋体" w:hAnsi="宋体"/>
                <w:bCs/>
                <w:sz w:val="24"/>
              </w:rPr>
              <w:t>理事</w:t>
            </w:r>
            <w:r>
              <w:rPr>
                <w:rFonts w:ascii="宋体" w:hAnsi="宋体"/>
                <w:bCs/>
                <w:sz w:val="24"/>
              </w:rPr>
              <w:t>人数</w:t>
            </w:r>
          </w:p>
        </w:tc>
        <w:tc>
          <w:tcPr>
            <w:tcW w:w="1134" w:type="dxa"/>
            <w:tcBorders>
              <w:top w:val="single" w:color="auto" w:sz="4" w:space="0"/>
              <w:left w:val="single" w:color="auto" w:sz="6" w:space="0"/>
              <w:bottom w:val="single" w:color="auto" w:sz="6" w:space="0"/>
              <w:right w:val="single" w:color="auto" w:sz="6" w:space="0"/>
            </w:tcBorders>
          </w:tcPr>
          <w:p>
            <w:pPr>
              <w:spacing w:line="360" w:lineRule="auto"/>
              <w:ind w:right="-105" w:firstLine="480" w:firstLineChars="200"/>
              <w:jc w:val="center"/>
              <w:rPr>
                <w:rFonts w:ascii="宋体" w:hAnsi="宋体"/>
                <w:bCs/>
                <w:sz w:val="24"/>
              </w:rPr>
            </w:pPr>
          </w:p>
        </w:tc>
        <w:tc>
          <w:tcPr>
            <w:tcW w:w="1559" w:type="dxa"/>
            <w:tcBorders>
              <w:top w:val="single" w:color="auto" w:sz="4" w:space="0"/>
              <w:left w:val="single" w:color="auto" w:sz="6" w:space="0"/>
              <w:bottom w:val="single" w:color="auto" w:sz="6" w:space="0"/>
              <w:right w:val="single" w:color="auto" w:sz="6" w:space="0"/>
            </w:tcBorders>
          </w:tcPr>
          <w:p>
            <w:pPr>
              <w:spacing w:line="360" w:lineRule="auto"/>
              <w:ind w:left="-103" w:leftChars="-49" w:right="-105"/>
              <w:rPr>
                <w:rFonts w:ascii="宋体" w:hAnsi="宋体"/>
                <w:bCs/>
                <w:sz w:val="24"/>
              </w:rPr>
            </w:pPr>
            <w:r>
              <w:rPr>
                <w:rFonts w:ascii="宋体" w:hAnsi="宋体"/>
                <w:bCs/>
                <w:sz w:val="24"/>
              </w:rPr>
              <w:t>实到</w:t>
            </w:r>
            <w:r>
              <w:rPr>
                <w:rFonts w:hint="eastAsia" w:ascii="宋体" w:hAnsi="宋体"/>
                <w:bCs/>
                <w:sz w:val="24"/>
              </w:rPr>
              <w:t>理事</w:t>
            </w:r>
            <w:r>
              <w:rPr>
                <w:rFonts w:ascii="宋体" w:hAnsi="宋体"/>
                <w:bCs/>
                <w:sz w:val="24"/>
              </w:rPr>
              <w:t>数</w:t>
            </w:r>
          </w:p>
        </w:tc>
        <w:tc>
          <w:tcPr>
            <w:tcW w:w="1701" w:type="dxa"/>
            <w:tcBorders>
              <w:top w:val="single" w:color="auto" w:sz="4" w:space="0"/>
              <w:left w:val="single" w:color="auto" w:sz="6" w:space="0"/>
              <w:bottom w:val="single" w:color="auto" w:sz="6" w:space="0"/>
              <w:right w:val="single" w:color="auto" w:sz="6" w:space="0"/>
            </w:tcBorders>
          </w:tcPr>
          <w:p>
            <w:pPr>
              <w:spacing w:line="360" w:lineRule="auto"/>
              <w:ind w:right="-105" w:firstLine="480" w:firstLineChars="200"/>
              <w:jc w:val="center"/>
              <w:rPr>
                <w:rFonts w:ascii="宋体" w:hAnsi="宋体"/>
                <w:bCs/>
                <w:sz w:val="24"/>
              </w:rPr>
            </w:pPr>
          </w:p>
        </w:tc>
        <w:tc>
          <w:tcPr>
            <w:tcW w:w="1560" w:type="dxa"/>
            <w:tcBorders>
              <w:top w:val="single" w:color="auto" w:sz="4" w:space="0"/>
              <w:left w:val="single" w:color="auto" w:sz="6" w:space="0"/>
              <w:bottom w:val="single" w:color="auto" w:sz="6" w:space="0"/>
              <w:right w:val="single" w:color="auto" w:sz="6" w:space="0"/>
            </w:tcBorders>
          </w:tcPr>
          <w:p>
            <w:pPr>
              <w:spacing w:line="360" w:lineRule="auto"/>
              <w:ind w:right="-105"/>
              <w:rPr>
                <w:rFonts w:ascii="宋体" w:hAnsi="宋体"/>
                <w:bCs/>
                <w:sz w:val="24"/>
              </w:rPr>
            </w:pPr>
            <w:r>
              <w:rPr>
                <w:rFonts w:ascii="宋体" w:hAnsi="宋体"/>
                <w:bCs/>
                <w:kern w:val="0"/>
                <w:sz w:val="24"/>
              </w:rPr>
              <w:t>列席人数</w:t>
            </w:r>
          </w:p>
        </w:tc>
        <w:tc>
          <w:tcPr>
            <w:tcW w:w="1134" w:type="dxa"/>
            <w:tcBorders>
              <w:top w:val="single" w:color="auto" w:sz="4" w:space="0"/>
              <w:left w:val="single" w:color="auto" w:sz="6" w:space="0"/>
              <w:bottom w:val="single" w:color="auto" w:sz="6" w:space="0"/>
              <w:right w:val="single" w:color="auto" w:sz="4" w:space="0"/>
            </w:tcBorders>
          </w:tcPr>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6" w:space="0"/>
              <w:left w:val="single" w:color="auto" w:sz="4" w:space="0"/>
              <w:bottom w:val="single" w:color="auto" w:sz="6" w:space="0"/>
              <w:right w:val="single" w:color="auto" w:sz="6" w:space="0"/>
            </w:tcBorders>
          </w:tcPr>
          <w:p>
            <w:pPr>
              <w:spacing w:line="360" w:lineRule="auto"/>
              <w:rPr>
                <w:rFonts w:ascii="宋体" w:hAnsi="宋体"/>
                <w:sz w:val="24"/>
              </w:rPr>
            </w:pPr>
            <w:r>
              <w:rPr>
                <w:rFonts w:hint="eastAsia" w:ascii="宋体" w:hAnsi="宋体"/>
                <w:kern w:val="0"/>
                <w:sz w:val="24"/>
              </w:rPr>
              <w:t>会议主持人</w:t>
            </w:r>
          </w:p>
        </w:tc>
        <w:tc>
          <w:tcPr>
            <w:tcW w:w="1134" w:type="dxa"/>
            <w:tcBorders>
              <w:top w:val="single" w:color="auto" w:sz="6" w:space="0"/>
              <w:left w:val="single" w:color="auto" w:sz="6" w:space="0"/>
              <w:bottom w:val="single" w:color="auto" w:sz="6" w:space="0"/>
              <w:right w:val="single" w:color="auto" w:sz="6" w:space="0"/>
            </w:tcBorders>
          </w:tcPr>
          <w:p>
            <w:pPr>
              <w:spacing w:line="360" w:lineRule="auto"/>
              <w:ind w:right="-105" w:firstLine="480" w:firstLineChars="200"/>
              <w:jc w:val="center"/>
              <w:rPr>
                <w:rFonts w:ascii="宋体" w:hAnsi="宋体"/>
                <w:bCs/>
                <w:sz w:val="24"/>
              </w:rPr>
            </w:pPr>
          </w:p>
        </w:tc>
        <w:tc>
          <w:tcPr>
            <w:tcW w:w="1559" w:type="dxa"/>
            <w:tcBorders>
              <w:top w:val="single" w:color="auto" w:sz="6" w:space="0"/>
              <w:left w:val="single" w:color="auto" w:sz="6" w:space="0"/>
              <w:bottom w:val="single" w:color="auto" w:sz="6" w:space="0"/>
              <w:right w:val="single" w:color="auto" w:sz="6" w:space="0"/>
            </w:tcBorders>
          </w:tcPr>
          <w:p>
            <w:pPr>
              <w:spacing w:line="360" w:lineRule="auto"/>
              <w:ind w:right="-105"/>
              <w:rPr>
                <w:rFonts w:ascii="宋体" w:hAnsi="宋体"/>
                <w:bCs/>
                <w:sz w:val="24"/>
              </w:rPr>
            </w:pPr>
            <w:r>
              <w:rPr>
                <w:rFonts w:ascii="宋体" w:hAnsi="宋体"/>
                <w:sz w:val="24"/>
              </w:rPr>
              <w:t>记 录 员</w:t>
            </w:r>
          </w:p>
        </w:tc>
        <w:tc>
          <w:tcPr>
            <w:tcW w:w="1701" w:type="dxa"/>
            <w:tcBorders>
              <w:top w:val="single" w:color="auto" w:sz="6" w:space="0"/>
              <w:left w:val="single" w:color="auto" w:sz="6" w:space="0"/>
              <w:bottom w:val="single" w:color="auto" w:sz="6" w:space="0"/>
              <w:right w:val="single" w:color="auto" w:sz="6" w:space="0"/>
            </w:tcBorders>
          </w:tcPr>
          <w:p>
            <w:pPr>
              <w:spacing w:line="360" w:lineRule="auto"/>
              <w:ind w:right="-105" w:firstLine="480" w:firstLineChars="200"/>
              <w:jc w:val="center"/>
              <w:rPr>
                <w:rFonts w:ascii="宋体" w:hAnsi="宋体"/>
                <w:bCs/>
                <w:sz w:val="24"/>
              </w:rPr>
            </w:pPr>
          </w:p>
        </w:tc>
        <w:tc>
          <w:tcPr>
            <w:tcW w:w="1560" w:type="dxa"/>
            <w:tcBorders>
              <w:top w:val="single" w:color="auto" w:sz="6" w:space="0"/>
              <w:left w:val="single" w:color="auto" w:sz="6" w:space="0"/>
              <w:bottom w:val="single" w:color="auto" w:sz="6" w:space="0"/>
              <w:right w:val="single" w:color="auto" w:sz="6" w:space="0"/>
            </w:tcBorders>
          </w:tcPr>
          <w:p>
            <w:pPr>
              <w:spacing w:line="360" w:lineRule="auto"/>
              <w:ind w:right="-105"/>
              <w:rPr>
                <w:rFonts w:ascii="宋体" w:hAnsi="宋体"/>
                <w:bCs/>
                <w:sz w:val="24"/>
              </w:rPr>
            </w:pPr>
            <w:r>
              <w:rPr>
                <w:rFonts w:ascii="宋体" w:hAnsi="宋体"/>
                <w:bCs/>
                <w:sz w:val="24"/>
              </w:rPr>
              <w:t>监事签名</w:t>
            </w:r>
          </w:p>
        </w:tc>
        <w:tc>
          <w:tcPr>
            <w:tcW w:w="1134" w:type="dxa"/>
            <w:tcBorders>
              <w:top w:val="single" w:color="auto" w:sz="6" w:space="0"/>
              <w:left w:val="single" w:color="auto" w:sz="6" w:space="0"/>
              <w:bottom w:val="single" w:color="auto" w:sz="6" w:space="0"/>
              <w:right w:val="single" w:color="auto" w:sz="4" w:space="0"/>
            </w:tcBorders>
          </w:tcPr>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8506" w:type="dxa"/>
            <w:gridSpan w:val="6"/>
            <w:tcBorders>
              <w:top w:val="single" w:color="auto" w:sz="6" w:space="0"/>
              <w:left w:val="single" w:color="auto" w:sz="4" w:space="0"/>
              <w:bottom w:val="single" w:color="auto" w:sz="6" w:space="0"/>
              <w:right w:val="single" w:color="auto" w:sz="4" w:space="0"/>
            </w:tcBorders>
          </w:tcPr>
          <w:p>
            <w:pPr>
              <w:spacing w:line="360" w:lineRule="auto"/>
              <w:ind w:right="-108"/>
              <w:rPr>
                <w:rFonts w:ascii="宋体" w:hAnsi="宋体"/>
                <w:bCs/>
                <w:sz w:val="24"/>
              </w:rPr>
            </w:pPr>
            <w:r>
              <w:rPr>
                <w:rFonts w:ascii="宋体" w:hAnsi="宋体"/>
                <w:bCs/>
                <w:sz w:val="24"/>
              </w:rPr>
              <w:t>出席会议理事名单：</w:t>
            </w:r>
          </w:p>
          <w:p>
            <w:pPr>
              <w:spacing w:line="360" w:lineRule="auto"/>
              <w:ind w:right="-108"/>
              <w:rPr>
                <w:rFonts w:ascii="宋体" w:hAnsi="宋体"/>
                <w:bCs/>
                <w:sz w:val="24"/>
              </w:rPr>
            </w:pPr>
            <w:r>
              <w:rPr>
                <w:rFonts w:ascii="宋体" w:hAnsi="宋体"/>
                <w:bCs/>
                <w:kern w:val="0"/>
                <w:sz w:val="24"/>
              </w:rPr>
              <w:t>列席会议名单：</w:t>
            </w:r>
            <w:r>
              <w:rPr>
                <w:rFonts w:ascii="宋体" w:hAnsi="宋体"/>
                <w:bCs/>
                <w:sz w:val="24"/>
              </w:rPr>
              <w:t xml:space="preserve"> </w:t>
            </w:r>
          </w:p>
          <w:p>
            <w:pPr>
              <w:spacing w:line="360" w:lineRule="auto"/>
              <w:ind w:right="-105"/>
              <w:rPr>
                <w:rFonts w:ascii="宋体" w:hAnsi="宋体"/>
                <w:bCs/>
                <w:sz w:val="24"/>
              </w:rPr>
            </w:pPr>
            <w:r>
              <w:rPr>
                <w:rFonts w:ascii="宋体" w:hAnsi="宋体"/>
                <w:bCs/>
                <w:sz w:val="24"/>
              </w:rPr>
              <w:t xml:space="preserve">缺席理事名单：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4" w:hRule="atLeast"/>
        </w:trPr>
        <w:tc>
          <w:tcPr>
            <w:tcW w:w="1418" w:type="dxa"/>
            <w:tcBorders>
              <w:top w:val="single" w:color="auto" w:sz="6" w:space="0"/>
              <w:left w:val="single" w:color="auto" w:sz="4" w:space="0"/>
              <w:bottom w:val="single" w:color="auto" w:sz="6" w:space="0"/>
              <w:right w:val="single" w:color="auto" w:sz="6" w:space="0"/>
            </w:tcBorders>
            <w:vAlign w:val="center"/>
          </w:tcPr>
          <w:p>
            <w:pPr>
              <w:snapToGrid w:val="0"/>
              <w:spacing w:line="360" w:lineRule="auto"/>
              <w:ind w:right="-108"/>
              <w:rPr>
                <w:rFonts w:ascii="宋体" w:hAnsi="宋体"/>
                <w:sz w:val="24"/>
              </w:rPr>
            </w:pPr>
            <w:r>
              <w:rPr>
                <w:rFonts w:ascii="宋体" w:hAnsi="宋体"/>
                <w:sz w:val="24"/>
              </w:rPr>
              <w:t>会议纪要</w:t>
            </w:r>
          </w:p>
          <w:p>
            <w:pPr>
              <w:snapToGrid w:val="0"/>
              <w:spacing w:line="360" w:lineRule="auto"/>
              <w:ind w:right="-108"/>
              <w:rPr>
                <w:rFonts w:ascii="宋体" w:hAnsi="宋体"/>
                <w:sz w:val="24"/>
              </w:rPr>
            </w:pPr>
            <w:r>
              <w:rPr>
                <w:rFonts w:hint="eastAsia" w:ascii="宋体" w:hAnsi="宋体"/>
                <w:sz w:val="24"/>
              </w:rPr>
              <w:t>及决议号</w:t>
            </w:r>
          </w:p>
          <w:p>
            <w:pPr>
              <w:snapToGrid w:val="0"/>
              <w:spacing w:line="360" w:lineRule="auto"/>
              <w:ind w:right="-108" w:firstLine="480" w:firstLineChars="200"/>
              <w:rPr>
                <w:rFonts w:ascii="宋体" w:hAnsi="宋体"/>
                <w:sz w:val="24"/>
              </w:rPr>
            </w:pPr>
          </w:p>
        </w:tc>
        <w:tc>
          <w:tcPr>
            <w:tcW w:w="7088" w:type="dxa"/>
            <w:gridSpan w:val="5"/>
            <w:tcBorders>
              <w:top w:val="single" w:color="auto" w:sz="6" w:space="0"/>
              <w:left w:val="single" w:color="auto" w:sz="6" w:space="0"/>
              <w:bottom w:val="single" w:color="auto" w:sz="6" w:space="0"/>
              <w:right w:val="single" w:color="auto" w:sz="4" w:space="0"/>
            </w:tcBorders>
          </w:tcPr>
          <w:p>
            <w:pPr>
              <w:spacing w:line="360" w:lineRule="auto"/>
              <w:ind w:left="174" w:leftChars="83" w:right="318" w:firstLine="480" w:firstLineChars="200"/>
              <w:rPr>
                <w:rFonts w:ascii="宋体" w:hAnsi="宋体"/>
                <w:bCs/>
                <w:sz w:val="24"/>
              </w:rPr>
            </w:pPr>
          </w:p>
          <w:p>
            <w:pPr>
              <w:spacing w:line="360" w:lineRule="auto"/>
              <w:ind w:left="174" w:leftChars="83" w:right="318" w:firstLine="480" w:firstLineChars="200"/>
              <w:rPr>
                <w:rFonts w:ascii="宋体" w:hAnsi="宋体"/>
                <w:bCs/>
                <w:sz w:val="24"/>
              </w:rPr>
            </w:pPr>
          </w:p>
          <w:p>
            <w:pPr>
              <w:spacing w:line="360" w:lineRule="auto"/>
              <w:ind w:left="174" w:leftChars="83" w:right="318" w:firstLine="480" w:firstLineChars="200"/>
              <w:rPr>
                <w:rFonts w:ascii="宋体" w:hAnsi="宋体"/>
                <w:bCs/>
                <w:sz w:val="24"/>
              </w:rPr>
            </w:pPr>
          </w:p>
          <w:p>
            <w:pPr>
              <w:spacing w:line="360" w:lineRule="auto"/>
              <w:ind w:left="174" w:leftChars="83" w:right="318" w:firstLine="480" w:firstLineChars="200"/>
              <w:rPr>
                <w:rFonts w:ascii="宋体" w:hAnsi="宋体"/>
                <w:bCs/>
                <w:sz w:val="24"/>
              </w:rPr>
            </w:pPr>
          </w:p>
          <w:p>
            <w:pPr>
              <w:spacing w:line="360" w:lineRule="auto"/>
              <w:ind w:right="318"/>
              <w:rPr>
                <w:rFonts w:ascii="宋体" w:hAnsi="宋体"/>
                <w:bCs/>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005" w:hRule="exact"/>
        </w:trPr>
        <w:tc>
          <w:tcPr>
            <w:tcW w:w="8506" w:type="dxa"/>
            <w:gridSpan w:val="6"/>
            <w:tcBorders>
              <w:top w:val="single" w:color="auto" w:sz="6" w:space="0"/>
              <w:left w:val="single" w:color="auto" w:sz="4" w:space="0"/>
              <w:bottom w:val="nil"/>
              <w:right w:val="single" w:color="auto" w:sz="4" w:space="0"/>
            </w:tcBorders>
          </w:tcPr>
          <w:p>
            <w:pPr>
              <w:adjustRightInd w:val="0"/>
              <w:snapToGrid w:val="0"/>
              <w:spacing w:before="240"/>
              <w:ind w:right="-108"/>
              <w:rPr>
                <w:rFonts w:ascii="宋体" w:hAnsi="宋体"/>
                <w:sz w:val="24"/>
              </w:rPr>
            </w:pPr>
            <w:r>
              <w:rPr>
                <w:rFonts w:ascii="宋体" w:hAnsi="宋体"/>
                <w:sz w:val="24"/>
              </w:rPr>
              <w:t>同意理事签名：</w:t>
            </w:r>
          </w:p>
          <w:p>
            <w:pPr>
              <w:adjustRightInd w:val="0"/>
              <w:snapToGrid w:val="0"/>
              <w:spacing w:before="240"/>
              <w:ind w:right="-108"/>
              <w:rPr>
                <w:rFonts w:ascii="宋体" w:hAnsi="宋体"/>
                <w:sz w:val="24"/>
              </w:rPr>
            </w:pPr>
          </w:p>
          <w:p>
            <w:pPr>
              <w:adjustRightInd w:val="0"/>
              <w:snapToGrid w:val="0"/>
              <w:spacing w:before="240"/>
              <w:ind w:right="-108"/>
              <w:rPr>
                <w:rFonts w:ascii="宋体" w:hAnsi="宋体"/>
                <w:sz w:val="24"/>
              </w:rPr>
            </w:pPr>
          </w:p>
          <w:p>
            <w:pPr>
              <w:adjustRightInd w:val="0"/>
              <w:snapToGrid w:val="0"/>
              <w:spacing w:before="240"/>
              <w:ind w:right="-108"/>
              <w:rPr>
                <w:rFonts w:ascii="宋体" w:hAnsi="宋体"/>
                <w:sz w:val="24"/>
              </w:rPr>
            </w:pPr>
          </w:p>
          <w:p>
            <w:pPr>
              <w:adjustRightInd w:val="0"/>
              <w:snapToGrid w:val="0"/>
              <w:spacing w:before="240"/>
              <w:ind w:right="-108"/>
              <w:rPr>
                <w:rFonts w:ascii="宋体" w:hAnsi="宋体"/>
                <w:sz w:val="24"/>
              </w:rPr>
            </w:pPr>
          </w:p>
          <w:p>
            <w:pPr>
              <w:adjustRightInd w:val="0"/>
              <w:snapToGrid w:val="0"/>
              <w:spacing w:before="240"/>
              <w:ind w:right="-108"/>
              <w:rPr>
                <w:rFonts w:ascii="宋体" w:hAnsi="宋体"/>
                <w:bCs/>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5" w:hRule="exact"/>
        </w:trPr>
        <w:tc>
          <w:tcPr>
            <w:tcW w:w="8506" w:type="dxa"/>
            <w:gridSpan w:val="6"/>
            <w:tcBorders>
              <w:top w:val="single" w:color="auto" w:sz="6" w:space="0"/>
              <w:left w:val="single" w:color="auto" w:sz="4" w:space="0"/>
              <w:bottom w:val="single" w:color="auto" w:sz="6" w:space="0"/>
              <w:right w:val="single" w:color="auto" w:sz="4" w:space="0"/>
            </w:tcBorders>
            <w:vAlign w:val="center"/>
          </w:tcPr>
          <w:p>
            <w:pPr>
              <w:adjustRightInd w:val="0"/>
              <w:snapToGrid w:val="0"/>
              <w:ind w:right="-108"/>
              <w:rPr>
                <w:rFonts w:ascii="宋体" w:hAnsi="宋体"/>
                <w:bCs/>
                <w:sz w:val="24"/>
              </w:rPr>
            </w:pPr>
            <w:r>
              <w:rPr>
                <w:rFonts w:ascii="宋体" w:hAnsi="宋体"/>
                <w:bCs/>
                <w:sz w:val="24"/>
              </w:rPr>
              <w:t>不同意理事签名：</w:t>
            </w:r>
            <w:r>
              <w:rPr>
                <w:rFonts w:hint="eastAsia" w:ascii="宋体" w:hAnsi="宋体"/>
                <w:bCs/>
                <w:sz w:val="24"/>
              </w:rPr>
              <w:t xml:space="preserve"> </w:t>
            </w:r>
          </w:p>
        </w:tc>
      </w:tr>
    </w:tbl>
    <w:p>
      <w:pPr>
        <w:spacing w:line="360" w:lineRule="auto"/>
        <w:rPr>
          <w:rFonts w:asciiTheme="minorEastAsia" w:hAnsiTheme="minorEastAsia"/>
          <w:sz w:val="24"/>
          <w:szCs w:val="24"/>
        </w:rPr>
      </w:pPr>
    </w:p>
    <w:p>
      <w:pPr>
        <w:spacing w:line="360" w:lineRule="auto"/>
        <w:rPr>
          <w:rFonts w:asciiTheme="minorEastAsia" w:hAnsiTheme="minorEastAsia"/>
          <w:sz w:val="24"/>
          <w:szCs w:val="24"/>
        </w:rPr>
      </w:pPr>
    </w:p>
    <w:p>
      <w:pPr>
        <w:spacing w:line="360" w:lineRule="auto"/>
        <w:outlineLvl w:val="1"/>
        <w:rPr>
          <w:rFonts w:asciiTheme="minorEastAsia" w:hAnsiTheme="minorEastAsia"/>
          <w:sz w:val="24"/>
          <w:szCs w:val="24"/>
        </w:rPr>
      </w:pPr>
      <w:bookmarkStart w:id="51" w:name="_Toc403829199"/>
      <w:bookmarkStart w:id="52" w:name="_Toc801"/>
      <w:r>
        <w:rPr>
          <w:rFonts w:hint="eastAsia" w:asciiTheme="minorEastAsia" w:hAnsiTheme="minorEastAsia"/>
          <w:sz w:val="24"/>
          <w:szCs w:val="24"/>
        </w:rPr>
        <w:t>附件3-2：《理事会会议决议》</w:t>
      </w:r>
      <w:bookmarkEnd w:id="51"/>
      <w:bookmarkEnd w:id="52"/>
    </w:p>
    <w:p>
      <w:pPr>
        <w:spacing w:line="360" w:lineRule="auto"/>
        <w:ind w:firstLine="560" w:firstLineChars="200"/>
        <w:jc w:val="center"/>
        <w:rPr>
          <w:rFonts w:ascii="微软雅黑" w:hAnsi="微软雅黑" w:eastAsia="微软雅黑" w:cs="Arial"/>
          <w:b/>
          <w:sz w:val="28"/>
          <w:szCs w:val="28"/>
        </w:rPr>
      </w:pPr>
      <w:r>
        <w:rPr>
          <w:rFonts w:hint="eastAsia" w:ascii="微软雅黑" w:hAnsi="微软雅黑" w:eastAsia="微软雅黑" w:cs="Arial"/>
          <w:b/>
          <w:sz w:val="28"/>
          <w:szCs w:val="28"/>
          <w:lang w:eastAsia="zh-CN"/>
        </w:rPr>
        <w:t>北京天地文化发展</w:t>
      </w:r>
      <w:r>
        <w:rPr>
          <w:rFonts w:hint="eastAsia" w:ascii="微软雅黑" w:hAnsi="微软雅黑" w:eastAsia="微软雅黑" w:cs="Arial"/>
          <w:b/>
          <w:sz w:val="28"/>
          <w:szCs w:val="28"/>
        </w:rPr>
        <w:t>基金会第X届理事会</w:t>
      </w:r>
    </w:p>
    <w:p>
      <w:pPr>
        <w:spacing w:line="276" w:lineRule="auto"/>
        <w:ind w:firstLine="560" w:firstLineChars="200"/>
        <w:jc w:val="center"/>
        <w:rPr>
          <w:rFonts w:ascii="微软雅黑" w:hAnsi="微软雅黑" w:eastAsia="微软雅黑" w:cs="Arial"/>
          <w:b/>
          <w:sz w:val="28"/>
          <w:szCs w:val="28"/>
        </w:rPr>
      </w:pPr>
      <w:r>
        <w:rPr>
          <w:rFonts w:hint="eastAsia" w:ascii="微软雅黑" w:hAnsi="微软雅黑" w:eastAsia="微软雅黑" w:cs="Arial"/>
          <w:b/>
          <w:sz w:val="28"/>
          <w:szCs w:val="28"/>
        </w:rPr>
        <w:t>决 议</w:t>
      </w:r>
    </w:p>
    <w:p>
      <w:pPr>
        <w:spacing w:before="120" w:after="156" w:afterLines="50" w:line="276" w:lineRule="auto"/>
        <w:ind w:firstLine="440" w:firstLineChars="200"/>
        <w:jc w:val="right"/>
        <w:rPr>
          <w:rFonts w:ascii="Arial" w:hAnsi="Arial" w:cs="Arial"/>
          <w:sz w:val="22"/>
          <w:szCs w:val="21"/>
        </w:rPr>
      </w:pPr>
      <w:r>
        <w:rPr>
          <w:rFonts w:ascii="Arial" w:hAnsi="Arial" w:cs="Arial"/>
          <w:sz w:val="22"/>
          <w:szCs w:val="21"/>
        </w:rPr>
        <w:t xml:space="preserve">                                 </w:t>
      </w:r>
      <w:r>
        <w:rPr>
          <w:rFonts w:ascii="Arial" w:cs="Arial"/>
          <w:sz w:val="22"/>
          <w:szCs w:val="21"/>
        </w:rPr>
        <w:t>编号</w:t>
      </w:r>
      <w:r>
        <w:rPr>
          <w:rFonts w:hint="eastAsia" w:ascii="Arial" w:cs="Arial"/>
          <w:sz w:val="22"/>
          <w:szCs w:val="21"/>
        </w:rPr>
        <w:t>：</w:t>
      </w:r>
      <w:r>
        <w:rPr>
          <w:rFonts w:hint="eastAsia" w:ascii="Arial" w:hAnsi="Arial" w:cs="Arial"/>
          <w:sz w:val="22"/>
          <w:szCs w:val="21"/>
        </w:rPr>
        <w:t>【  】</w:t>
      </w:r>
    </w:p>
    <w:p>
      <w:pPr>
        <w:spacing w:line="440" w:lineRule="exact"/>
        <w:ind w:firstLine="480" w:firstLineChars="200"/>
        <w:rPr>
          <w:sz w:val="24"/>
        </w:rPr>
      </w:pPr>
      <w:r>
        <w:rPr>
          <w:rFonts w:hint="eastAsia"/>
          <w:sz w:val="24"/>
        </w:rPr>
        <w:t>会议名称：</w:t>
      </w:r>
    </w:p>
    <w:p>
      <w:pPr>
        <w:spacing w:line="440" w:lineRule="exact"/>
        <w:ind w:firstLine="480" w:firstLineChars="200"/>
        <w:rPr>
          <w:sz w:val="24"/>
        </w:rPr>
      </w:pPr>
      <w:r>
        <w:rPr>
          <w:rFonts w:hint="eastAsia"/>
          <w:sz w:val="24"/>
        </w:rPr>
        <w:t>会议时间：</w:t>
      </w:r>
    </w:p>
    <w:p>
      <w:pPr>
        <w:spacing w:line="440" w:lineRule="exact"/>
        <w:ind w:firstLine="480" w:firstLineChars="200"/>
        <w:rPr>
          <w:sz w:val="24"/>
        </w:rPr>
      </w:pPr>
      <w:r>
        <w:rPr>
          <w:rFonts w:hint="eastAsia"/>
          <w:sz w:val="24"/>
        </w:rPr>
        <w:t>会议地点：</w:t>
      </w:r>
    </w:p>
    <w:p>
      <w:pPr>
        <w:spacing w:line="440" w:lineRule="exact"/>
        <w:ind w:firstLine="480" w:firstLineChars="200"/>
        <w:rPr>
          <w:sz w:val="24"/>
        </w:rPr>
      </w:pPr>
      <w:r>
        <w:rPr>
          <w:rFonts w:hint="eastAsia"/>
          <w:sz w:val="24"/>
        </w:rPr>
        <w:t>出席理事：</w:t>
      </w:r>
    </w:p>
    <w:p>
      <w:pPr>
        <w:spacing w:line="440" w:lineRule="exact"/>
        <w:ind w:firstLine="480" w:firstLineChars="200"/>
        <w:rPr>
          <w:sz w:val="24"/>
        </w:rPr>
      </w:pPr>
      <w:r>
        <w:rPr>
          <w:rFonts w:hint="eastAsia"/>
          <w:sz w:val="24"/>
        </w:rPr>
        <w:t>列席人员：</w:t>
      </w:r>
    </w:p>
    <w:p>
      <w:pPr>
        <w:spacing w:line="440" w:lineRule="exact"/>
        <w:ind w:firstLine="480" w:firstLineChars="200"/>
        <w:rPr>
          <w:sz w:val="24"/>
        </w:rPr>
      </w:pPr>
      <w:r>
        <w:rPr>
          <w:rFonts w:hint="eastAsia"/>
          <w:sz w:val="24"/>
        </w:rPr>
        <w:t>主 持 人：</w:t>
      </w:r>
      <w:r>
        <w:rPr>
          <w:sz w:val="24"/>
        </w:rPr>
        <w:t xml:space="preserve"> </w:t>
      </w:r>
    </w:p>
    <w:p>
      <w:pPr>
        <w:spacing w:after="156" w:afterLines="50" w:line="440" w:lineRule="exact"/>
        <w:ind w:firstLine="480" w:firstLineChars="200"/>
        <w:rPr>
          <w:sz w:val="24"/>
        </w:rPr>
      </w:pPr>
      <w:r>
        <w:rPr>
          <w:rFonts w:hint="eastAsia"/>
          <w:sz w:val="24"/>
        </w:rPr>
        <w:t>记 录 人：</w:t>
      </w:r>
    </w:p>
    <w:p>
      <w:pPr>
        <w:spacing w:before="312" w:beforeLines="100" w:line="440" w:lineRule="exact"/>
        <w:ind w:firstLine="482" w:firstLineChars="200"/>
        <w:rPr>
          <w:b/>
          <w:sz w:val="24"/>
        </w:rPr>
      </w:pPr>
      <w:r>
        <w:rPr>
          <w:rFonts w:hint="eastAsia"/>
          <w:b/>
          <w:sz w:val="24"/>
        </w:rPr>
        <w:t>根据国务院《中华人民共和国慈善法》、《基金会管理条例》及基金会章程的有关规定，</w:t>
      </w:r>
      <w:r>
        <w:rPr>
          <w:rFonts w:hint="eastAsia"/>
          <w:b/>
          <w:sz w:val="24"/>
          <w:lang w:eastAsia="zh-CN"/>
        </w:rPr>
        <w:t>北京天地文化发展</w:t>
      </w:r>
      <w:r>
        <w:rPr>
          <w:rFonts w:hint="eastAsia"/>
          <w:b/>
          <w:sz w:val="24"/>
        </w:rPr>
        <w:t>基金会于XXXX年XX月XX日在基金会会议室召开第X届理事会议。出席本次理事会的理事成员应到X人，实到X人；列席本次理事会的监事应到X人，实到X人，XX理事长、XX副理事长、XX理事、XX理事、XX理事、XX理事及XX监事悉数到场参加会议，符合基金会章程规定。</w:t>
      </w:r>
    </w:p>
    <w:p>
      <w:pPr>
        <w:spacing w:before="156" w:beforeLines="50" w:line="440" w:lineRule="exact"/>
        <w:ind w:firstLine="482" w:firstLineChars="200"/>
        <w:rPr>
          <w:b/>
          <w:sz w:val="24"/>
        </w:rPr>
      </w:pPr>
      <w:r>
        <w:rPr>
          <w:rFonts w:hint="eastAsia"/>
          <w:b/>
          <w:sz w:val="24"/>
        </w:rPr>
        <w:t>经过与会理事的认真审议研究，并进行了书面表决</w:t>
      </w:r>
      <w:r>
        <w:rPr>
          <w:rFonts w:hint="eastAsia"/>
          <w:sz w:val="24"/>
        </w:rPr>
        <w:t>（表决记录详见本决议附件）</w:t>
      </w:r>
      <w:r>
        <w:rPr>
          <w:rFonts w:hint="eastAsia"/>
          <w:b/>
          <w:sz w:val="24"/>
        </w:rPr>
        <w:t>。经与会监事监票，本次理事会投票表决通过了如下决议：</w:t>
      </w:r>
    </w:p>
    <w:p>
      <w:pPr>
        <w:pStyle w:val="16"/>
        <w:numPr>
          <w:ilvl w:val="0"/>
          <w:numId w:val="2"/>
        </w:numPr>
        <w:spacing w:before="156" w:beforeLines="50" w:line="440" w:lineRule="exact"/>
        <w:ind w:left="0" w:firstLine="482"/>
        <w:jc w:val="left"/>
        <w:rPr>
          <w:b/>
          <w:sz w:val="24"/>
          <w:szCs w:val="24"/>
        </w:rPr>
      </w:pPr>
      <w:r>
        <w:rPr>
          <w:rFonts w:hint="eastAsia"/>
          <w:b/>
          <w:sz w:val="24"/>
          <w:szCs w:val="24"/>
        </w:rPr>
        <w:t>通过《XX决议》</w:t>
      </w:r>
    </w:p>
    <w:p>
      <w:pPr>
        <w:pStyle w:val="16"/>
        <w:numPr>
          <w:ilvl w:val="0"/>
          <w:numId w:val="2"/>
        </w:numPr>
        <w:spacing w:before="156" w:beforeLines="50" w:line="440" w:lineRule="exact"/>
        <w:ind w:left="0" w:firstLine="482"/>
        <w:jc w:val="left"/>
        <w:rPr>
          <w:b/>
          <w:sz w:val="24"/>
          <w:szCs w:val="24"/>
        </w:rPr>
      </w:pPr>
      <w:r>
        <w:rPr>
          <w:rFonts w:hint="eastAsia"/>
          <w:b/>
          <w:sz w:val="24"/>
          <w:szCs w:val="24"/>
        </w:rPr>
        <w:t>通过《XX决议》</w:t>
      </w:r>
    </w:p>
    <w:p>
      <w:pPr>
        <w:spacing w:before="156" w:beforeLines="50" w:line="440" w:lineRule="exact"/>
        <w:ind w:firstLine="482" w:firstLineChars="200"/>
        <w:jc w:val="left"/>
        <w:rPr>
          <w:b/>
          <w:sz w:val="24"/>
        </w:rPr>
      </w:pPr>
    </w:p>
    <w:p>
      <w:pPr>
        <w:spacing w:before="312" w:beforeLines="100" w:line="440" w:lineRule="exact"/>
        <w:ind w:firstLine="482" w:firstLineChars="200"/>
        <w:rPr>
          <w:b/>
          <w:sz w:val="24"/>
        </w:rPr>
      </w:pPr>
      <w:r>
        <w:rPr>
          <w:rFonts w:hint="eastAsia"/>
          <w:b/>
          <w:sz w:val="24"/>
        </w:rPr>
        <w:t>本次理事会的召集、召开、决议表决等程序符合《基金会管理条例》及本基金会章程的相关规定，确认合法有效。</w:t>
      </w:r>
    </w:p>
    <w:p>
      <w:pPr>
        <w:spacing w:before="312" w:beforeLines="100" w:line="440" w:lineRule="exact"/>
        <w:ind w:firstLine="482" w:firstLineChars="200"/>
        <w:rPr>
          <w:b/>
          <w:sz w:val="24"/>
        </w:rPr>
      </w:pPr>
    </w:p>
    <w:p>
      <w:pPr>
        <w:spacing w:line="440" w:lineRule="exact"/>
        <w:ind w:left="3699" w:firstLine="522" w:firstLineChars="200"/>
        <w:rPr>
          <w:b/>
          <w:sz w:val="26"/>
          <w:szCs w:val="26"/>
        </w:rPr>
      </w:pPr>
      <w:r>
        <w:rPr>
          <w:rFonts w:hint="eastAsia"/>
          <w:b/>
          <w:sz w:val="26"/>
          <w:szCs w:val="26"/>
        </w:rPr>
        <w:t>签字</w:t>
      </w:r>
      <w:r>
        <w:rPr>
          <w:rFonts w:hint="eastAsia"/>
          <w:sz w:val="26"/>
          <w:szCs w:val="26"/>
        </w:rPr>
        <w:t>（见下页）</w:t>
      </w:r>
    </w:p>
    <w:p>
      <w:pPr>
        <w:spacing w:line="276" w:lineRule="auto"/>
        <w:ind w:left="3983" w:firstLine="562" w:firstLineChars="200"/>
        <w:rPr>
          <w:b/>
          <w:sz w:val="28"/>
        </w:rPr>
      </w:pPr>
      <w:r>
        <w:rPr>
          <w:rFonts w:hint="eastAsia"/>
          <w:b/>
          <w:sz w:val="28"/>
        </w:rPr>
        <w:t>签字页：</w:t>
      </w:r>
    </w:p>
    <w:p>
      <w:pPr>
        <w:spacing w:line="276" w:lineRule="auto"/>
        <w:ind w:left="3401" w:firstLine="480" w:firstLineChars="200"/>
        <w:rPr>
          <w:sz w:val="24"/>
        </w:rPr>
      </w:pPr>
    </w:p>
    <w:p>
      <w:pPr>
        <w:spacing w:line="276" w:lineRule="auto"/>
        <w:ind w:left="3401" w:firstLine="480" w:firstLineChars="200"/>
        <w:rPr>
          <w:sz w:val="24"/>
        </w:rPr>
      </w:pPr>
      <w:r>
        <w:rPr>
          <w:rFonts w:hint="eastAsia"/>
          <w:sz w:val="24"/>
        </w:rPr>
        <w:t>出席理事签字：</w:t>
      </w:r>
    </w:p>
    <w:p>
      <w:pPr>
        <w:spacing w:line="320" w:lineRule="exact"/>
        <w:ind w:left="3969" w:leftChars="1890" w:firstLine="560" w:firstLineChars="200"/>
        <w:rPr>
          <w:sz w:val="28"/>
        </w:rPr>
      </w:pPr>
    </w:p>
    <w:p>
      <w:pPr>
        <w:spacing w:line="320" w:lineRule="exact"/>
        <w:ind w:left="3969" w:leftChars="1890" w:firstLine="560" w:firstLineChars="200"/>
        <w:rPr>
          <w:sz w:val="28"/>
        </w:rPr>
      </w:pPr>
    </w:p>
    <w:p>
      <w:pPr>
        <w:spacing w:line="320" w:lineRule="exact"/>
        <w:ind w:left="3969" w:leftChars="1890" w:firstLine="560" w:firstLineChars="200"/>
        <w:rPr>
          <w:sz w:val="28"/>
        </w:rPr>
      </w:pPr>
      <w:r>
        <w:rPr>
          <w:sz w:val="28"/>
          <w:u w:val="single"/>
        </w:rPr>
        <w:t xml:space="preserve">                 </w:t>
      </w:r>
    </w:p>
    <w:p>
      <w:pPr>
        <w:spacing w:line="320" w:lineRule="exact"/>
        <w:ind w:left="3969" w:leftChars="1890" w:firstLine="840" w:firstLineChars="300"/>
        <w:rPr>
          <w:rFonts w:ascii="华文仿宋" w:hAnsi="华文仿宋" w:eastAsia="华文仿宋"/>
          <w:sz w:val="28"/>
        </w:rPr>
      </w:pPr>
      <w:r>
        <w:rPr>
          <w:rFonts w:hint="eastAsia" w:ascii="华文仿宋" w:hAnsi="华文仿宋" w:eastAsia="华文仿宋"/>
          <w:sz w:val="28"/>
        </w:rPr>
        <w:t>理事长</w:t>
      </w:r>
    </w:p>
    <w:p>
      <w:pPr>
        <w:spacing w:line="320" w:lineRule="exact"/>
        <w:ind w:left="3969" w:leftChars="1890" w:firstLine="560" w:firstLineChars="200"/>
        <w:rPr>
          <w:rFonts w:ascii="华文仿宋" w:hAnsi="华文仿宋" w:eastAsia="华文仿宋"/>
          <w:sz w:val="28"/>
        </w:rPr>
      </w:pPr>
    </w:p>
    <w:p>
      <w:pPr>
        <w:spacing w:line="320" w:lineRule="exact"/>
        <w:ind w:left="3969" w:leftChars="1890" w:firstLine="560" w:firstLineChars="200"/>
        <w:rPr>
          <w:rFonts w:ascii="华文仿宋" w:hAnsi="华文仿宋" w:eastAsia="华文仿宋"/>
          <w:sz w:val="28"/>
        </w:rPr>
      </w:pPr>
    </w:p>
    <w:p>
      <w:pPr>
        <w:spacing w:line="320" w:lineRule="exact"/>
        <w:ind w:left="3969" w:leftChars="1890" w:firstLine="560" w:firstLineChars="200"/>
        <w:rPr>
          <w:rFonts w:ascii="华文仿宋" w:hAnsi="华文仿宋" w:eastAsia="华文仿宋"/>
          <w:sz w:val="28"/>
          <w:u w:val="single"/>
        </w:rPr>
      </w:pPr>
      <w:r>
        <w:rPr>
          <w:rFonts w:ascii="华文仿宋" w:hAnsi="华文仿宋" w:eastAsia="华文仿宋"/>
          <w:sz w:val="28"/>
          <w:u w:val="single"/>
        </w:rPr>
        <w:t xml:space="preserve">                 </w:t>
      </w:r>
    </w:p>
    <w:p>
      <w:pPr>
        <w:spacing w:line="320" w:lineRule="exact"/>
        <w:ind w:firstLine="4760" w:firstLineChars="1700"/>
        <w:rPr>
          <w:rFonts w:ascii="华文仿宋" w:hAnsi="华文仿宋" w:eastAsia="华文仿宋"/>
          <w:sz w:val="28"/>
        </w:rPr>
      </w:pPr>
      <w:r>
        <w:rPr>
          <w:rFonts w:hint="eastAsia" w:ascii="华文仿宋" w:hAnsi="华文仿宋" w:eastAsia="华文仿宋"/>
          <w:sz w:val="28"/>
        </w:rPr>
        <w:t>副理事长</w:t>
      </w:r>
    </w:p>
    <w:p>
      <w:pPr>
        <w:spacing w:line="320" w:lineRule="exact"/>
        <w:ind w:left="3969" w:leftChars="1890" w:firstLine="560" w:firstLineChars="200"/>
        <w:rPr>
          <w:rFonts w:ascii="华文仿宋" w:hAnsi="华文仿宋" w:eastAsia="华文仿宋"/>
          <w:sz w:val="28"/>
        </w:rPr>
      </w:pPr>
    </w:p>
    <w:p>
      <w:pPr>
        <w:spacing w:line="320" w:lineRule="exact"/>
        <w:ind w:left="3969" w:leftChars="1890" w:firstLine="560" w:firstLineChars="200"/>
        <w:rPr>
          <w:rFonts w:ascii="华文仿宋" w:hAnsi="华文仿宋" w:eastAsia="华文仿宋"/>
          <w:sz w:val="28"/>
        </w:rPr>
      </w:pPr>
    </w:p>
    <w:p>
      <w:pPr>
        <w:spacing w:line="320" w:lineRule="exact"/>
        <w:ind w:left="3969" w:leftChars="1890" w:firstLine="560" w:firstLineChars="200"/>
        <w:rPr>
          <w:rFonts w:ascii="华文仿宋" w:hAnsi="华文仿宋" w:eastAsia="华文仿宋"/>
          <w:sz w:val="28"/>
          <w:u w:val="single"/>
        </w:rPr>
      </w:pPr>
      <w:r>
        <w:rPr>
          <w:rFonts w:ascii="华文仿宋" w:hAnsi="华文仿宋" w:eastAsia="华文仿宋"/>
          <w:sz w:val="28"/>
          <w:u w:val="single"/>
        </w:rPr>
        <w:t xml:space="preserve">                 </w:t>
      </w:r>
    </w:p>
    <w:p>
      <w:pPr>
        <w:spacing w:line="320" w:lineRule="exact"/>
        <w:ind w:left="3969" w:leftChars="1890" w:firstLine="840" w:firstLineChars="300"/>
        <w:rPr>
          <w:rFonts w:ascii="华文仿宋" w:hAnsi="华文仿宋" w:eastAsia="华文仿宋"/>
          <w:sz w:val="28"/>
        </w:rPr>
      </w:pPr>
      <w:r>
        <w:rPr>
          <w:rFonts w:hint="eastAsia" w:ascii="华文仿宋" w:hAnsi="华文仿宋" w:eastAsia="华文仿宋"/>
          <w:sz w:val="28"/>
        </w:rPr>
        <w:t>理事</w:t>
      </w:r>
    </w:p>
    <w:p>
      <w:pPr>
        <w:spacing w:line="320" w:lineRule="exact"/>
        <w:ind w:left="3969" w:leftChars="1890" w:firstLine="560" w:firstLineChars="200"/>
        <w:rPr>
          <w:rFonts w:ascii="华文仿宋" w:hAnsi="华文仿宋" w:eastAsia="华文仿宋"/>
          <w:sz w:val="28"/>
        </w:rPr>
      </w:pPr>
    </w:p>
    <w:p>
      <w:pPr>
        <w:spacing w:line="320" w:lineRule="exact"/>
        <w:ind w:left="3969" w:leftChars="1890" w:firstLine="560" w:firstLineChars="200"/>
        <w:rPr>
          <w:rFonts w:ascii="华文仿宋" w:hAnsi="华文仿宋" w:eastAsia="华文仿宋"/>
          <w:sz w:val="28"/>
        </w:rPr>
      </w:pPr>
    </w:p>
    <w:p>
      <w:pPr>
        <w:spacing w:line="320" w:lineRule="exact"/>
        <w:ind w:left="3969" w:leftChars="1890" w:firstLine="560" w:firstLineChars="200"/>
        <w:rPr>
          <w:rFonts w:ascii="华文仿宋" w:hAnsi="华文仿宋" w:eastAsia="华文仿宋"/>
          <w:sz w:val="28"/>
          <w:u w:val="single"/>
        </w:rPr>
      </w:pPr>
      <w:r>
        <w:rPr>
          <w:rFonts w:ascii="华文仿宋" w:hAnsi="华文仿宋" w:eastAsia="华文仿宋"/>
          <w:sz w:val="28"/>
          <w:u w:val="single"/>
        </w:rPr>
        <w:t xml:space="preserve">                 </w:t>
      </w:r>
    </w:p>
    <w:p>
      <w:pPr>
        <w:spacing w:line="320" w:lineRule="exact"/>
        <w:ind w:left="3969" w:leftChars="1890" w:firstLine="840" w:firstLineChars="300"/>
        <w:rPr>
          <w:rFonts w:ascii="华文仿宋" w:hAnsi="华文仿宋" w:eastAsia="华文仿宋"/>
          <w:sz w:val="28"/>
        </w:rPr>
      </w:pPr>
      <w:r>
        <w:rPr>
          <w:rFonts w:hint="eastAsia" w:ascii="华文仿宋" w:hAnsi="华文仿宋" w:eastAsia="华文仿宋"/>
          <w:sz w:val="28"/>
        </w:rPr>
        <w:t>理事</w:t>
      </w:r>
    </w:p>
    <w:p>
      <w:pPr>
        <w:spacing w:line="320" w:lineRule="exact"/>
        <w:ind w:left="3969" w:leftChars="1890" w:firstLine="560" w:firstLineChars="200"/>
        <w:rPr>
          <w:rFonts w:ascii="华文仿宋" w:hAnsi="华文仿宋" w:eastAsia="华文仿宋"/>
          <w:sz w:val="28"/>
        </w:rPr>
      </w:pPr>
    </w:p>
    <w:p>
      <w:pPr>
        <w:spacing w:line="320" w:lineRule="exact"/>
        <w:ind w:left="3969" w:leftChars="1890" w:firstLine="560" w:firstLineChars="200"/>
        <w:rPr>
          <w:rFonts w:ascii="华文仿宋" w:hAnsi="华文仿宋" w:eastAsia="华文仿宋"/>
          <w:sz w:val="28"/>
        </w:rPr>
      </w:pPr>
    </w:p>
    <w:p>
      <w:pPr>
        <w:spacing w:line="320" w:lineRule="exact"/>
        <w:ind w:left="3969" w:leftChars="1890" w:firstLine="560" w:firstLineChars="200"/>
        <w:rPr>
          <w:rFonts w:ascii="华文仿宋" w:hAnsi="华文仿宋" w:eastAsia="华文仿宋"/>
          <w:sz w:val="28"/>
          <w:u w:val="single"/>
        </w:rPr>
      </w:pPr>
      <w:r>
        <w:rPr>
          <w:rFonts w:ascii="华文仿宋" w:hAnsi="华文仿宋" w:eastAsia="华文仿宋"/>
          <w:sz w:val="28"/>
          <w:u w:val="single"/>
        </w:rPr>
        <w:t xml:space="preserve">                 </w:t>
      </w:r>
    </w:p>
    <w:p>
      <w:pPr>
        <w:spacing w:line="320" w:lineRule="exact"/>
        <w:ind w:left="3969" w:leftChars="1890" w:firstLine="840" w:firstLineChars="300"/>
        <w:rPr>
          <w:rFonts w:ascii="华文仿宋" w:hAnsi="华文仿宋" w:eastAsia="华文仿宋"/>
          <w:sz w:val="28"/>
        </w:rPr>
      </w:pPr>
      <w:r>
        <w:rPr>
          <w:rFonts w:hint="eastAsia" w:ascii="华文仿宋" w:hAnsi="华文仿宋" w:eastAsia="华文仿宋"/>
          <w:sz w:val="28"/>
        </w:rPr>
        <w:t>理事</w:t>
      </w:r>
    </w:p>
    <w:p>
      <w:pPr>
        <w:spacing w:line="320" w:lineRule="exact"/>
        <w:ind w:left="3969" w:leftChars="1890" w:firstLine="560" w:firstLineChars="200"/>
        <w:rPr>
          <w:rFonts w:ascii="华文仿宋" w:hAnsi="华文仿宋" w:eastAsia="华文仿宋"/>
          <w:sz w:val="28"/>
        </w:rPr>
      </w:pPr>
    </w:p>
    <w:p>
      <w:pPr>
        <w:spacing w:line="320" w:lineRule="exact"/>
        <w:ind w:left="3969" w:leftChars="1890" w:firstLine="560" w:firstLineChars="200"/>
        <w:rPr>
          <w:rFonts w:ascii="华文仿宋" w:hAnsi="华文仿宋" w:eastAsia="华文仿宋"/>
          <w:sz w:val="28"/>
        </w:rPr>
      </w:pPr>
    </w:p>
    <w:p>
      <w:pPr>
        <w:spacing w:line="320" w:lineRule="exact"/>
        <w:ind w:left="3969" w:leftChars="1890" w:firstLine="560" w:firstLineChars="200"/>
        <w:rPr>
          <w:rFonts w:ascii="华文仿宋" w:hAnsi="华文仿宋" w:eastAsia="华文仿宋"/>
          <w:sz w:val="28"/>
          <w:u w:val="single"/>
        </w:rPr>
      </w:pPr>
      <w:r>
        <w:rPr>
          <w:rFonts w:ascii="华文仿宋" w:hAnsi="华文仿宋" w:eastAsia="华文仿宋"/>
          <w:sz w:val="28"/>
          <w:u w:val="single"/>
        </w:rPr>
        <w:t xml:space="preserve">                 </w:t>
      </w:r>
    </w:p>
    <w:p>
      <w:pPr>
        <w:spacing w:line="320" w:lineRule="exact"/>
        <w:ind w:left="3969" w:leftChars="1890" w:firstLine="840" w:firstLineChars="300"/>
        <w:rPr>
          <w:rFonts w:ascii="华文仿宋" w:hAnsi="华文仿宋" w:eastAsia="华文仿宋"/>
          <w:sz w:val="28"/>
        </w:rPr>
      </w:pPr>
      <w:r>
        <w:rPr>
          <w:rFonts w:hint="eastAsia" w:ascii="华文仿宋" w:hAnsi="华文仿宋" w:eastAsia="华文仿宋"/>
          <w:sz w:val="28"/>
        </w:rPr>
        <w:t>理事</w:t>
      </w:r>
    </w:p>
    <w:p>
      <w:pPr>
        <w:spacing w:line="320" w:lineRule="exact"/>
        <w:ind w:left="3969" w:leftChars="1890" w:firstLine="560" w:firstLineChars="200"/>
        <w:rPr>
          <w:rFonts w:ascii="华文仿宋" w:hAnsi="华文仿宋" w:eastAsia="华文仿宋"/>
          <w:sz w:val="28"/>
        </w:rPr>
      </w:pPr>
    </w:p>
    <w:p>
      <w:pPr>
        <w:spacing w:line="276" w:lineRule="auto"/>
        <w:ind w:left="3401" w:firstLine="480" w:firstLineChars="200"/>
        <w:rPr>
          <w:sz w:val="24"/>
        </w:rPr>
      </w:pPr>
    </w:p>
    <w:p>
      <w:pPr>
        <w:spacing w:line="276" w:lineRule="auto"/>
        <w:ind w:left="3401" w:firstLine="480" w:firstLineChars="200"/>
        <w:rPr>
          <w:sz w:val="24"/>
        </w:rPr>
      </w:pPr>
    </w:p>
    <w:p>
      <w:pPr>
        <w:spacing w:line="276" w:lineRule="auto"/>
        <w:ind w:left="3401" w:firstLine="480" w:firstLineChars="200"/>
        <w:rPr>
          <w:sz w:val="24"/>
        </w:rPr>
      </w:pPr>
      <w:r>
        <w:rPr>
          <w:rFonts w:hint="eastAsia"/>
          <w:sz w:val="24"/>
        </w:rPr>
        <w:t>列席监事签字：</w:t>
      </w:r>
    </w:p>
    <w:p>
      <w:pPr>
        <w:spacing w:line="320" w:lineRule="exact"/>
        <w:ind w:left="3969" w:leftChars="1890" w:firstLine="560" w:firstLineChars="200"/>
        <w:rPr>
          <w:rFonts w:ascii="华文仿宋" w:hAnsi="华文仿宋" w:eastAsia="华文仿宋"/>
          <w:sz w:val="28"/>
          <w:u w:val="single"/>
        </w:rPr>
      </w:pPr>
      <w:r>
        <w:rPr>
          <w:rFonts w:ascii="华文仿宋" w:hAnsi="华文仿宋" w:eastAsia="华文仿宋"/>
          <w:sz w:val="28"/>
          <w:u w:val="single"/>
        </w:rPr>
        <w:t xml:space="preserve">                 </w:t>
      </w:r>
    </w:p>
    <w:p>
      <w:pPr>
        <w:spacing w:line="320" w:lineRule="exact"/>
        <w:ind w:left="3969" w:leftChars="1890" w:firstLine="1120" w:firstLineChars="400"/>
        <w:rPr>
          <w:rFonts w:ascii="华文仿宋" w:hAnsi="华文仿宋" w:eastAsia="华文仿宋"/>
          <w:sz w:val="28"/>
        </w:rPr>
      </w:pPr>
      <w:r>
        <w:rPr>
          <w:rFonts w:hint="eastAsia" w:ascii="华文仿宋" w:hAnsi="华文仿宋" w:eastAsia="华文仿宋"/>
          <w:sz w:val="28"/>
        </w:rPr>
        <w:t>监事</w:t>
      </w:r>
    </w:p>
    <w:p>
      <w:pPr>
        <w:spacing w:line="320" w:lineRule="exact"/>
        <w:ind w:firstLine="560" w:firstLineChars="200"/>
        <w:jc w:val="left"/>
        <w:rPr>
          <w:sz w:val="28"/>
        </w:rPr>
      </w:pPr>
    </w:p>
    <w:p>
      <w:pPr>
        <w:spacing w:line="320" w:lineRule="exact"/>
        <w:ind w:firstLine="560" w:firstLineChars="200"/>
        <w:jc w:val="left"/>
        <w:rPr>
          <w:sz w:val="28"/>
        </w:rPr>
      </w:pPr>
    </w:p>
    <w:p>
      <w:pPr>
        <w:spacing w:line="320" w:lineRule="exact"/>
        <w:ind w:firstLine="560" w:firstLineChars="200"/>
        <w:jc w:val="left"/>
        <w:rPr>
          <w:sz w:val="28"/>
        </w:rPr>
      </w:pPr>
    </w:p>
    <w:p>
      <w:pPr>
        <w:spacing w:line="320" w:lineRule="exact"/>
        <w:ind w:firstLine="560" w:firstLineChars="200"/>
        <w:jc w:val="left"/>
        <w:rPr>
          <w:sz w:val="28"/>
        </w:rPr>
      </w:pPr>
    </w:p>
    <w:p>
      <w:pPr>
        <w:spacing w:line="320" w:lineRule="exact"/>
        <w:ind w:firstLine="560" w:firstLineChars="200"/>
        <w:jc w:val="left"/>
        <w:rPr>
          <w:sz w:val="28"/>
        </w:rPr>
      </w:pPr>
    </w:p>
    <w:p>
      <w:pPr>
        <w:spacing w:line="320" w:lineRule="exact"/>
        <w:ind w:left="3969" w:leftChars="1890" w:firstLine="560" w:firstLineChars="200"/>
        <w:jc w:val="center"/>
        <w:rPr>
          <w:sz w:val="28"/>
        </w:rPr>
      </w:pPr>
      <w:r>
        <w:rPr>
          <w:rFonts w:hint="eastAsia"/>
          <w:sz w:val="28"/>
          <w:lang w:eastAsia="zh-CN"/>
        </w:rPr>
        <w:t>北京天地文化发展</w:t>
      </w:r>
      <w:r>
        <w:rPr>
          <w:rFonts w:hint="eastAsia"/>
          <w:sz w:val="28"/>
        </w:rPr>
        <w:t>基金会</w:t>
      </w:r>
    </w:p>
    <w:p>
      <w:pPr>
        <w:spacing w:line="320" w:lineRule="exact"/>
        <w:ind w:left="3969" w:leftChars="1890" w:firstLine="560" w:firstLineChars="200"/>
        <w:jc w:val="center"/>
        <w:rPr>
          <w:rFonts w:hint="eastAsia"/>
          <w:sz w:val="28"/>
        </w:rPr>
      </w:pPr>
      <w:r>
        <w:rPr>
          <w:rFonts w:hint="eastAsia"/>
          <w:sz w:val="28"/>
        </w:rPr>
        <w:t>XXXX年XX月XX日</w:t>
      </w:r>
    </w:p>
    <w:p>
      <w:pPr>
        <w:spacing w:line="320" w:lineRule="exact"/>
        <w:ind w:left="3969" w:leftChars="1890" w:firstLine="560" w:firstLineChars="200"/>
        <w:jc w:val="center"/>
        <w:rPr>
          <w:rFonts w:hint="eastAsia"/>
          <w:sz w:val="28"/>
        </w:rPr>
      </w:pPr>
    </w:p>
    <w:p>
      <w:pPr>
        <w:spacing w:line="320" w:lineRule="exact"/>
        <w:ind w:left="3969" w:leftChars="1890" w:firstLine="560" w:firstLineChars="200"/>
        <w:jc w:val="center"/>
        <w:rPr>
          <w:rFonts w:hint="eastAsia"/>
          <w:sz w:val="28"/>
        </w:rPr>
      </w:pPr>
    </w:p>
    <w:p>
      <w:pPr>
        <w:spacing w:line="320" w:lineRule="exact"/>
        <w:ind w:left="3969" w:leftChars="1890" w:firstLine="560" w:firstLineChars="200"/>
        <w:jc w:val="center"/>
        <w:rPr>
          <w:rFonts w:hint="eastAsia"/>
          <w:sz w:val="28"/>
        </w:rPr>
      </w:pPr>
    </w:p>
    <w:p>
      <w:pPr>
        <w:spacing w:line="360" w:lineRule="auto"/>
        <w:outlineLvl w:val="1"/>
        <w:rPr>
          <w:rFonts w:asciiTheme="minorEastAsia" w:hAnsiTheme="minorEastAsia"/>
          <w:sz w:val="24"/>
          <w:szCs w:val="24"/>
        </w:rPr>
      </w:pPr>
      <w:bookmarkStart w:id="53" w:name="_Toc403829200"/>
      <w:bookmarkStart w:id="54" w:name="_Toc5749"/>
      <w:r>
        <w:rPr>
          <w:rFonts w:hint="eastAsia" w:asciiTheme="minorEastAsia" w:hAnsiTheme="minorEastAsia"/>
          <w:sz w:val="24"/>
          <w:szCs w:val="24"/>
        </w:rPr>
        <w:t>附件3-3：《决议内容》</w:t>
      </w:r>
      <w:bookmarkEnd w:id="53"/>
      <w:bookmarkEnd w:id="54"/>
    </w:p>
    <w:p>
      <w:pPr>
        <w:jc w:val="center"/>
        <w:rPr>
          <w:rFonts w:ascii="微软雅黑" w:hAnsi="微软雅黑" w:eastAsia="微软雅黑"/>
          <w:b/>
          <w:sz w:val="28"/>
          <w:szCs w:val="28"/>
        </w:rPr>
      </w:pPr>
      <w:r>
        <w:rPr>
          <w:rFonts w:hint="eastAsia" w:ascii="微软雅黑" w:hAnsi="微软雅黑" w:eastAsia="微软雅黑" w:cs="Arial"/>
          <w:b/>
          <w:sz w:val="28"/>
          <w:szCs w:val="28"/>
        </w:rPr>
        <w:t>关于</w:t>
      </w:r>
      <w:r>
        <w:rPr>
          <w:rFonts w:hint="eastAsia" w:ascii="微软雅黑" w:hAnsi="微软雅黑" w:eastAsia="微软雅黑"/>
          <w:b/>
          <w:sz w:val="28"/>
          <w:szCs w:val="28"/>
        </w:rPr>
        <w:t>XX的决议</w:t>
      </w:r>
    </w:p>
    <w:p>
      <w:pPr>
        <w:ind w:firstLine="420" w:firstLineChars="200"/>
      </w:pPr>
    </w:p>
    <w:p>
      <w:pPr>
        <w:spacing w:line="500" w:lineRule="exact"/>
        <w:ind w:firstLine="480" w:firstLineChars="200"/>
        <w:rPr>
          <w:sz w:val="24"/>
        </w:rPr>
      </w:pPr>
      <w:r>
        <w:rPr>
          <w:rFonts w:hint="eastAsia"/>
          <w:sz w:val="24"/>
        </w:rPr>
        <w:t>(内容…)</w:t>
      </w:r>
    </w:p>
    <w:p>
      <w:pPr>
        <w:spacing w:line="500" w:lineRule="exact"/>
        <w:ind w:firstLine="480" w:firstLineChars="200"/>
        <w:rPr>
          <w:sz w:val="24"/>
        </w:rPr>
      </w:pPr>
    </w:p>
    <w:p>
      <w:pPr>
        <w:ind w:firstLine="643" w:firstLineChars="200"/>
        <w:jc w:val="center"/>
        <w:rPr>
          <w:b/>
          <w:sz w:val="32"/>
        </w:rPr>
      </w:pP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1370"/>
        <w:gridCol w:w="1371"/>
        <w:gridCol w:w="1370"/>
        <w:gridCol w:w="1370"/>
        <w:gridCol w:w="1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shd w:val="clear" w:color="auto" w:fill="D9D9D9"/>
          </w:tcPr>
          <w:p>
            <w:pPr>
              <w:rPr>
                <w:rFonts w:ascii="黑体" w:hAnsi="黑体" w:eastAsia="黑体"/>
                <w:sz w:val="22"/>
              </w:rPr>
            </w:pPr>
            <w:r>
              <w:rPr>
                <w:rFonts w:hint="eastAsia" w:ascii="黑体" w:hAnsi="黑体" w:eastAsia="黑体"/>
                <w:sz w:val="22"/>
              </w:rPr>
              <w:t>同意票</w:t>
            </w:r>
          </w:p>
        </w:tc>
        <w:tc>
          <w:tcPr>
            <w:tcW w:w="1370" w:type="dxa"/>
            <w:shd w:val="clear" w:color="auto" w:fill="auto"/>
          </w:tcPr>
          <w:p>
            <w:pPr>
              <w:ind w:firstLine="440" w:firstLineChars="200"/>
              <w:jc w:val="center"/>
              <w:rPr>
                <w:rFonts w:ascii="黑体" w:hAnsi="黑体" w:eastAsia="黑体"/>
                <w:sz w:val="22"/>
              </w:rPr>
            </w:pPr>
            <w:r>
              <w:rPr>
                <w:rFonts w:hint="eastAsia" w:ascii="黑体" w:hAnsi="黑体" w:eastAsia="黑体"/>
                <w:sz w:val="22"/>
                <w:u w:val="single"/>
              </w:rPr>
              <w:t xml:space="preserve">    </w:t>
            </w:r>
            <w:r>
              <w:rPr>
                <w:rFonts w:hint="eastAsia" w:ascii="黑体" w:hAnsi="黑体" w:eastAsia="黑体"/>
                <w:sz w:val="22"/>
              </w:rPr>
              <w:t>票</w:t>
            </w:r>
          </w:p>
        </w:tc>
        <w:tc>
          <w:tcPr>
            <w:tcW w:w="1371" w:type="dxa"/>
            <w:shd w:val="clear" w:color="auto" w:fill="D9D9D9"/>
          </w:tcPr>
          <w:p>
            <w:pPr>
              <w:rPr>
                <w:rFonts w:ascii="黑体" w:hAnsi="黑体" w:eastAsia="黑体"/>
                <w:sz w:val="22"/>
              </w:rPr>
            </w:pPr>
            <w:r>
              <w:rPr>
                <w:rFonts w:hint="eastAsia" w:ascii="黑体" w:hAnsi="黑体" w:eastAsia="黑体"/>
                <w:sz w:val="22"/>
              </w:rPr>
              <w:t>反对票</w:t>
            </w:r>
          </w:p>
        </w:tc>
        <w:tc>
          <w:tcPr>
            <w:tcW w:w="1370" w:type="dxa"/>
            <w:shd w:val="clear" w:color="auto" w:fill="auto"/>
          </w:tcPr>
          <w:p>
            <w:pPr>
              <w:ind w:firstLine="440" w:firstLineChars="200"/>
              <w:jc w:val="center"/>
              <w:rPr>
                <w:rFonts w:ascii="黑体" w:hAnsi="黑体" w:eastAsia="黑体"/>
                <w:sz w:val="22"/>
              </w:rPr>
            </w:pPr>
            <w:r>
              <w:rPr>
                <w:rFonts w:hint="eastAsia" w:ascii="黑体" w:hAnsi="黑体" w:eastAsia="黑体"/>
                <w:sz w:val="22"/>
                <w:u w:val="single"/>
              </w:rPr>
              <w:t xml:space="preserve">    </w:t>
            </w:r>
            <w:r>
              <w:rPr>
                <w:rFonts w:hint="eastAsia" w:ascii="黑体" w:hAnsi="黑体" w:eastAsia="黑体"/>
                <w:sz w:val="22"/>
              </w:rPr>
              <w:t>票</w:t>
            </w:r>
          </w:p>
        </w:tc>
        <w:tc>
          <w:tcPr>
            <w:tcW w:w="1370" w:type="dxa"/>
            <w:shd w:val="clear" w:color="auto" w:fill="D9D9D9"/>
          </w:tcPr>
          <w:p>
            <w:pPr>
              <w:rPr>
                <w:rFonts w:ascii="黑体" w:hAnsi="黑体" w:eastAsia="黑体"/>
                <w:sz w:val="22"/>
              </w:rPr>
            </w:pPr>
            <w:r>
              <w:rPr>
                <w:rFonts w:hint="eastAsia" w:ascii="黑体" w:hAnsi="黑体" w:eastAsia="黑体"/>
                <w:sz w:val="22"/>
              </w:rPr>
              <w:t>弃权票</w:t>
            </w:r>
          </w:p>
        </w:tc>
        <w:tc>
          <w:tcPr>
            <w:tcW w:w="1513" w:type="dxa"/>
          </w:tcPr>
          <w:p>
            <w:pPr>
              <w:ind w:firstLine="440" w:firstLineChars="200"/>
              <w:jc w:val="center"/>
              <w:rPr>
                <w:rFonts w:ascii="黑体" w:hAnsi="黑体" w:eastAsia="黑体"/>
                <w:sz w:val="22"/>
              </w:rPr>
            </w:pPr>
            <w:r>
              <w:rPr>
                <w:rFonts w:hint="eastAsia" w:ascii="黑体" w:hAnsi="黑体" w:eastAsia="黑体"/>
                <w:sz w:val="22"/>
                <w:u w:val="single"/>
              </w:rPr>
              <w:t xml:space="preserve">    </w:t>
            </w:r>
            <w:r>
              <w:rPr>
                <w:rFonts w:hint="eastAsia" w:ascii="黑体" w:hAnsi="黑体" w:eastAsia="黑体"/>
                <w:sz w:val="22"/>
              </w:rPr>
              <w:t>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0" w:type="dxa"/>
            <w:gridSpan w:val="2"/>
            <w:shd w:val="clear" w:color="auto" w:fill="auto"/>
          </w:tcPr>
          <w:p>
            <w:pPr>
              <w:jc w:val="left"/>
              <w:rPr>
                <w:rFonts w:ascii="黑体" w:hAnsi="黑体" w:eastAsia="黑体"/>
                <w:b/>
                <w:sz w:val="22"/>
              </w:rPr>
            </w:pPr>
            <w:r>
              <w:rPr>
                <w:rFonts w:hint="eastAsia" w:ascii="黑体" w:hAnsi="黑体" w:eastAsia="黑体"/>
                <w:b/>
                <w:sz w:val="22"/>
              </w:rPr>
              <w:t>表决结果：</w:t>
            </w:r>
          </w:p>
        </w:tc>
        <w:tc>
          <w:tcPr>
            <w:tcW w:w="1371" w:type="dxa"/>
            <w:shd w:val="clear" w:color="auto" w:fill="D9D9D9"/>
          </w:tcPr>
          <w:p>
            <w:pPr>
              <w:rPr>
                <w:rFonts w:ascii="黑体" w:hAnsi="黑体" w:eastAsia="黑体"/>
                <w:sz w:val="22"/>
              </w:rPr>
            </w:pPr>
            <w:r>
              <w:rPr>
                <w:rFonts w:hint="eastAsia" w:ascii="黑体" w:hAnsi="黑体" w:eastAsia="黑体"/>
                <w:sz w:val="22"/>
              </w:rPr>
              <w:t>通过</w:t>
            </w:r>
          </w:p>
        </w:tc>
        <w:tc>
          <w:tcPr>
            <w:tcW w:w="1370" w:type="dxa"/>
            <w:shd w:val="clear" w:color="auto" w:fill="auto"/>
          </w:tcPr>
          <w:p>
            <w:pPr>
              <w:ind w:firstLine="440" w:firstLineChars="200"/>
              <w:jc w:val="center"/>
              <w:rPr>
                <w:rFonts w:ascii="黑体" w:hAnsi="黑体" w:eastAsia="黑体"/>
                <w:sz w:val="22"/>
              </w:rPr>
            </w:pPr>
          </w:p>
        </w:tc>
        <w:tc>
          <w:tcPr>
            <w:tcW w:w="1370" w:type="dxa"/>
            <w:shd w:val="clear" w:color="auto" w:fill="D9D9D9"/>
          </w:tcPr>
          <w:p>
            <w:pPr>
              <w:rPr>
                <w:rFonts w:ascii="黑体" w:hAnsi="黑体" w:eastAsia="黑体"/>
                <w:sz w:val="22"/>
              </w:rPr>
            </w:pPr>
            <w:r>
              <w:rPr>
                <w:rFonts w:hint="eastAsia" w:ascii="黑体" w:hAnsi="黑体" w:eastAsia="黑体"/>
                <w:sz w:val="22"/>
              </w:rPr>
              <w:t>不通过</w:t>
            </w:r>
          </w:p>
        </w:tc>
        <w:tc>
          <w:tcPr>
            <w:tcW w:w="1513" w:type="dxa"/>
          </w:tcPr>
          <w:p>
            <w:pPr>
              <w:ind w:firstLine="440" w:firstLineChars="200"/>
              <w:jc w:val="center"/>
              <w:rPr>
                <w:rFonts w:ascii="黑体" w:hAnsi="黑体" w:eastAsia="黑体"/>
                <w:sz w:val="22"/>
              </w:rPr>
            </w:pPr>
          </w:p>
        </w:tc>
      </w:tr>
    </w:tbl>
    <w:p>
      <w:pPr>
        <w:spacing w:before="240" w:line="276" w:lineRule="auto"/>
        <w:ind w:firstLine="480" w:firstLineChars="200"/>
        <w:jc w:val="left"/>
        <w:rPr>
          <w:rFonts w:ascii="Arial" w:hAnsi="Arial" w:cs="Arial"/>
          <w:sz w:val="24"/>
          <w:szCs w:val="21"/>
        </w:rPr>
      </w:pPr>
    </w:p>
    <w:p>
      <w:pPr>
        <w:ind w:firstLine="562" w:firstLineChars="200"/>
        <w:jc w:val="center"/>
        <w:rPr>
          <w:b/>
          <w:sz w:val="28"/>
        </w:rPr>
      </w:pPr>
    </w:p>
    <w:p>
      <w:pPr>
        <w:ind w:firstLine="562" w:firstLineChars="200"/>
        <w:jc w:val="center"/>
        <w:rPr>
          <w:b/>
          <w:sz w:val="28"/>
        </w:rPr>
      </w:pPr>
    </w:p>
    <w:p>
      <w:pPr>
        <w:jc w:val="center"/>
        <w:rPr>
          <w:rFonts w:ascii="微软雅黑" w:hAnsi="微软雅黑" w:eastAsia="微软雅黑" w:cs="Arial"/>
          <w:b/>
          <w:sz w:val="28"/>
          <w:szCs w:val="28"/>
        </w:rPr>
      </w:pPr>
      <w:r>
        <w:rPr>
          <w:rFonts w:hint="eastAsia" w:ascii="微软雅黑" w:hAnsi="微软雅黑" w:eastAsia="微软雅黑" w:cs="Arial"/>
          <w:b/>
          <w:sz w:val="28"/>
          <w:szCs w:val="28"/>
        </w:rPr>
        <w:t>关于XX的决议</w:t>
      </w:r>
    </w:p>
    <w:p>
      <w:pPr>
        <w:ind w:firstLine="562" w:firstLineChars="200"/>
        <w:jc w:val="center"/>
        <w:rPr>
          <w:b/>
          <w:sz w:val="28"/>
        </w:rPr>
      </w:pPr>
    </w:p>
    <w:p>
      <w:pPr>
        <w:spacing w:line="500" w:lineRule="exact"/>
        <w:ind w:firstLine="480" w:firstLineChars="200"/>
        <w:rPr>
          <w:sz w:val="24"/>
        </w:rPr>
      </w:pPr>
      <w:r>
        <w:rPr>
          <w:rFonts w:hint="eastAsia"/>
          <w:sz w:val="24"/>
        </w:rPr>
        <w:t>（内容…）</w:t>
      </w:r>
    </w:p>
    <w:p>
      <w:pPr>
        <w:ind w:firstLine="480" w:firstLineChars="200"/>
        <w:jc w:val="center"/>
        <w:rPr>
          <w:sz w:val="24"/>
        </w:rPr>
      </w:pPr>
    </w:p>
    <w:p>
      <w:pPr>
        <w:ind w:firstLine="643" w:firstLineChars="200"/>
        <w:jc w:val="center"/>
        <w:rPr>
          <w:b/>
          <w:sz w:val="32"/>
        </w:rPr>
      </w:pP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1370"/>
        <w:gridCol w:w="1371"/>
        <w:gridCol w:w="1370"/>
        <w:gridCol w:w="1370"/>
        <w:gridCol w:w="1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shd w:val="clear" w:color="auto" w:fill="D9D9D9"/>
          </w:tcPr>
          <w:p>
            <w:pPr>
              <w:rPr>
                <w:rFonts w:ascii="黑体" w:hAnsi="黑体" w:eastAsia="黑体"/>
                <w:sz w:val="22"/>
              </w:rPr>
            </w:pPr>
            <w:r>
              <w:rPr>
                <w:rFonts w:hint="eastAsia" w:ascii="黑体" w:hAnsi="黑体" w:eastAsia="黑体"/>
                <w:sz w:val="22"/>
              </w:rPr>
              <w:t>同意票</w:t>
            </w:r>
          </w:p>
        </w:tc>
        <w:tc>
          <w:tcPr>
            <w:tcW w:w="1370" w:type="dxa"/>
            <w:shd w:val="clear" w:color="auto" w:fill="auto"/>
          </w:tcPr>
          <w:p>
            <w:pPr>
              <w:ind w:firstLine="440" w:firstLineChars="200"/>
              <w:jc w:val="center"/>
              <w:rPr>
                <w:rFonts w:ascii="黑体" w:hAnsi="黑体" w:eastAsia="黑体"/>
                <w:sz w:val="22"/>
              </w:rPr>
            </w:pPr>
            <w:r>
              <w:rPr>
                <w:rFonts w:hint="eastAsia" w:ascii="黑体" w:hAnsi="黑体" w:eastAsia="黑体"/>
                <w:sz w:val="22"/>
                <w:u w:val="single"/>
              </w:rPr>
              <w:t xml:space="preserve">    </w:t>
            </w:r>
            <w:r>
              <w:rPr>
                <w:rFonts w:hint="eastAsia" w:ascii="黑体" w:hAnsi="黑体" w:eastAsia="黑体"/>
                <w:sz w:val="22"/>
              </w:rPr>
              <w:t>票</w:t>
            </w:r>
          </w:p>
        </w:tc>
        <w:tc>
          <w:tcPr>
            <w:tcW w:w="1371" w:type="dxa"/>
            <w:shd w:val="clear" w:color="auto" w:fill="D9D9D9"/>
          </w:tcPr>
          <w:p>
            <w:pPr>
              <w:rPr>
                <w:rFonts w:ascii="黑体" w:hAnsi="黑体" w:eastAsia="黑体"/>
                <w:sz w:val="22"/>
              </w:rPr>
            </w:pPr>
            <w:r>
              <w:rPr>
                <w:rFonts w:hint="eastAsia" w:ascii="黑体" w:hAnsi="黑体" w:eastAsia="黑体"/>
                <w:sz w:val="22"/>
              </w:rPr>
              <w:t>反对票</w:t>
            </w:r>
          </w:p>
        </w:tc>
        <w:tc>
          <w:tcPr>
            <w:tcW w:w="1370" w:type="dxa"/>
            <w:shd w:val="clear" w:color="auto" w:fill="auto"/>
          </w:tcPr>
          <w:p>
            <w:pPr>
              <w:ind w:firstLine="440" w:firstLineChars="200"/>
              <w:jc w:val="center"/>
              <w:rPr>
                <w:rFonts w:ascii="黑体" w:hAnsi="黑体" w:eastAsia="黑体"/>
                <w:sz w:val="22"/>
              </w:rPr>
            </w:pPr>
            <w:r>
              <w:rPr>
                <w:rFonts w:hint="eastAsia" w:ascii="黑体" w:hAnsi="黑体" w:eastAsia="黑体"/>
                <w:sz w:val="22"/>
                <w:u w:val="single"/>
              </w:rPr>
              <w:t xml:space="preserve">    </w:t>
            </w:r>
            <w:r>
              <w:rPr>
                <w:rFonts w:hint="eastAsia" w:ascii="黑体" w:hAnsi="黑体" w:eastAsia="黑体"/>
                <w:sz w:val="22"/>
              </w:rPr>
              <w:t>票</w:t>
            </w:r>
          </w:p>
        </w:tc>
        <w:tc>
          <w:tcPr>
            <w:tcW w:w="1370" w:type="dxa"/>
            <w:shd w:val="clear" w:color="auto" w:fill="D9D9D9"/>
          </w:tcPr>
          <w:p>
            <w:pPr>
              <w:rPr>
                <w:rFonts w:ascii="黑体" w:hAnsi="黑体" w:eastAsia="黑体"/>
                <w:sz w:val="22"/>
              </w:rPr>
            </w:pPr>
            <w:r>
              <w:rPr>
                <w:rFonts w:hint="eastAsia" w:ascii="黑体" w:hAnsi="黑体" w:eastAsia="黑体"/>
                <w:sz w:val="22"/>
              </w:rPr>
              <w:t>弃权票</w:t>
            </w:r>
          </w:p>
        </w:tc>
        <w:tc>
          <w:tcPr>
            <w:tcW w:w="1513" w:type="dxa"/>
          </w:tcPr>
          <w:p>
            <w:pPr>
              <w:ind w:firstLine="440" w:firstLineChars="200"/>
              <w:jc w:val="center"/>
              <w:rPr>
                <w:rFonts w:ascii="黑体" w:hAnsi="黑体" w:eastAsia="黑体"/>
                <w:sz w:val="22"/>
              </w:rPr>
            </w:pPr>
            <w:r>
              <w:rPr>
                <w:rFonts w:hint="eastAsia" w:ascii="黑体" w:hAnsi="黑体" w:eastAsia="黑体"/>
                <w:sz w:val="22"/>
                <w:u w:val="single"/>
              </w:rPr>
              <w:t xml:space="preserve">    </w:t>
            </w:r>
            <w:r>
              <w:rPr>
                <w:rFonts w:hint="eastAsia" w:ascii="黑体" w:hAnsi="黑体" w:eastAsia="黑体"/>
                <w:sz w:val="22"/>
              </w:rPr>
              <w:t>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0" w:type="dxa"/>
            <w:gridSpan w:val="2"/>
            <w:shd w:val="clear" w:color="auto" w:fill="auto"/>
          </w:tcPr>
          <w:p>
            <w:pPr>
              <w:jc w:val="left"/>
              <w:rPr>
                <w:rFonts w:ascii="黑体" w:hAnsi="黑体" w:eastAsia="黑体"/>
                <w:b/>
                <w:sz w:val="22"/>
              </w:rPr>
            </w:pPr>
            <w:r>
              <w:rPr>
                <w:rFonts w:hint="eastAsia" w:ascii="黑体" w:hAnsi="黑体" w:eastAsia="黑体"/>
                <w:b/>
                <w:sz w:val="22"/>
              </w:rPr>
              <w:t>表决结果：</w:t>
            </w:r>
          </w:p>
        </w:tc>
        <w:tc>
          <w:tcPr>
            <w:tcW w:w="1371" w:type="dxa"/>
            <w:shd w:val="clear" w:color="auto" w:fill="D9D9D9"/>
          </w:tcPr>
          <w:p>
            <w:pPr>
              <w:rPr>
                <w:rFonts w:ascii="黑体" w:hAnsi="黑体" w:eastAsia="黑体"/>
                <w:sz w:val="22"/>
              </w:rPr>
            </w:pPr>
            <w:r>
              <w:rPr>
                <w:rFonts w:hint="eastAsia" w:ascii="黑体" w:hAnsi="黑体" w:eastAsia="黑体"/>
                <w:sz w:val="22"/>
              </w:rPr>
              <w:t>通过</w:t>
            </w:r>
          </w:p>
        </w:tc>
        <w:tc>
          <w:tcPr>
            <w:tcW w:w="1370" w:type="dxa"/>
            <w:shd w:val="clear" w:color="auto" w:fill="auto"/>
          </w:tcPr>
          <w:p>
            <w:pPr>
              <w:ind w:firstLine="440" w:firstLineChars="200"/>
              <w:jc w:val="center"/>
              <w:rPr>
                <w:rFonts w:ascii="黑体" w:hAnsi="黑体" w:eastAsia="黑体"/>
                <w:sz w:val="22"/>
              </w:rPr>
            </w:pPr>
          </w:p>
        </w:tc>
        <w:tc>
          <w:tcPr>
            <w:tcW w:w="1370" w:type="dxa"/>
            <w:shd w:val="clear" w:color="auto" w:fill="D9D9D9"/>
          </w:tcPr>
          <w:p>
            <w:pPr>
              <w:rPr>
                <w:rFonts w:ascii="黑体" w:hAnsi="黑体" w:eastAsia="黑体"/>
                <w:sz w:val="22"/>
              </w:rPr>
            </w:pPr>
            <w:r>
              <w:rPr>
                <w:rFonts w:hint="eastAsia" w:ascii="黑体" w:hAnsi="黑体" w:eastAsia="黑体"/>
                <w:sz w:val="22"/>
              </w:rPr>
              <w:t>不通过</w:t>
            </w:r>
          </w:p>
        </w:tc>
        <w:tc>
          <w:tcPr>
            <w:tcW w:w="1513" w:type="dxa"/>
          </w:tcPr>
          <w:p>
            <w:pPr>
              <w:ind w:firstLine="440" w:firstLineChars="200"/>
              <w:jc w:val="center"/>
              <w:rPr>
                <w:rFonts w:ascii="黑体" w:hAnsi="黑体" w:eastAsia="黑体"/>
                <w:sz w:val="22"/>
              </w:rPr>
            </w:pPr>
          </w:p>
        </w:tc>
      </w:tr>
    </w:tbl>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outlineLvl w:val="1"/>
        <w:rPr>
          <w:rFonts w:asciiTheme="minorEastAsia" w:hAnsiTheme="minorEastAsia"/>
          <w:sz w:val="24"/>
          <w:szCs w:val="24"/>
        </w:rPr>
      </w:pPr>
      <w:bookmarkStart w:id="55" w:name="_Toc32177"/>
      <w:bookmarkStart w:id="56" w:name="_Toc403829201"/>
      <w:r>
        <w:rPr>
          <w:rFonts w:hint="eastAsia" w:asciiTheme="minorEastAsia" w:hAnsiTheme="minorEastAsia"/>
          <w:sz w:val="24"/>
          <w:szCs w:val="24"/>
        </w:rPr>
        <w:t>附件3-4：《决议表决票》</w:t>
      </w:r>
      <w:bookmarkEnd w:id="55"/>
      <w:bookmarkEnd w:id="56"/>
    </w:p>
    <w:p>
      <w:pPr>
        <w:spacing w:line="276" w:lineRule="auto"/>
        <w:ind w:firstLine="480" w:firstLineChars="200"/>
        <w:jc w:val="center"/>
        <w:rPr>
          <w:rFonts w:ascii="微软雅黑" w:hAnsi="微软雅黑" w:eastAsia="微软雅黑" w:cs="Arial"/>
          <w:b/>
          <w:sz w:val="24"/>
          <w:szCs w:val="24"/>
        </w:rPr>
      </w:pPr>
      <w:r>
        <w:rPr>
          <w:rFonts w:hint="eastAsia" w:ascii="微软雅黑" w:hAnsi="微软雅黑" w:eastAsia="微软雅黑" w:cs="Arial"/>
          <w:b/>
          <w:sz w:val="24"/>
          <w:szCs w:val="24"/>
          <w:lang w:eastAsia="zh-CN"/>
        </w:rPr>
        <w:t>北京天地文化发展</w:t>
      </w:r>
      <w:r>
        <w:rPr>
          <w:rFonts w:hint="eastAsia" w:ascii="微软雅黑" w:hAnsi="微软雅黑" w:eastAsia="微软雅黑" w:cs="Arial"/>
          <w:b/>
          <w:sz w:val="24"/>
          <w:szCs w:val="24"/>
        </w:rPr>
        <w:t>基金会第X届理事会</w:t>
      </w:r>
    </w:p>
    <w:p>
      <w:pPr>
        <w:spacing w:line="276" w:lineRule="auto"/>
        <w:ind w:firstLine="480" w:firstLineChars="200"/>
        <w:jc w:val="center"/>
        <w:rPr>
          <w:rFonts w:ascii="微软雅黑" w:hAnsi="微软雅黑" w:eastAsia="微软雅黑" w:cs="Arial"/>
          <w:b/>
          <w:sz w:val="24"/>
          <w:szCs w:val="24"/>
        </w:rPr>
      </w:pPr>
      <w:r>
        <w:rPr>
          <w:rFonts w:hint="eastAsia" w:ascii="微软雅黑" w:hAnsi="微软雅黑" w:eastAsia="微软雅黑" w:cs="Arial"/>
          <w:b/>
          <w:sz w:val="24"/>
          <w:szCs w:val="24"/>
        </w:rPr>
        <w:t>决议表决票</w:t>
      </w:r>
    </w:p>
    <w:tbl>
      <w:tblPr>
        <w:tblStyle w:val="9"/>
        <w:tblW w:w="85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451"/>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F2F2F2"/>
            <w:vAlign w:val="center"/>
          </w:tcPr>
          <w:p>
            <w:pPr>
              <w:spacing w:before="312" w:beforeLines="100" w:after="156" w:afterLines="50" w:line="276" w:lineRule="auto"/>
              <w:rPr>
                <w:rFonts w:ascii="Arial" w:hAnsi="Arial" w:cs="Arial"/>
                <w:sz w:val="28"/>
                <w:szCs w:val="21"/>
              </w:rPr>
            </w:pPr>
            <w:r>
              <w:rPr>
                <w:rFonts w:hint="eastAsia" w:ascii="Arial" w:hAnsi="Arial" w:cs="Arial"/>
                <w:sz w:val="28"/>
                <w:szCs w:val="21"/>
              </w:rPr>
              <w:t>决议内容</w:t>
            </w:r>
          </w:p>
        </w:tc>
        <w:tc>
          <w:tcPr>
            <w:tcW w:w="6713" w:type="dxa"/>
            <w:gridSpan w:val="3"/>
            <w:shd w:val="clear" w:color="auto" w:fill="F2F2F2"/>
            <w:vAlign w:val="center"/>
          </w:tcPr>
          <w:p>
            <w:pPr>
              <w:spacing w:before="312" w:beforeLines="100" w:after="156" w:afterLines="50" w:line="276" w:lineRule="auto"/>
              <w:ind w:firstLine="562" w:firstLineChars="200"/>
              <w:rPr>
                <w:rFonts w:ascii="Arial" w:hAnsi="Arial" w:cs="Arial"/>
                <w:b/>
                <w:sz w:val="28"/>
                <w:szCs w:val="21"/>
              </w:rPr>
            </w:pPr>
            <w:r>
              <w:rPr>
                <w:rFonts w:hint="eastAsia" w:ascii="Arial" w:hAnsi="Arial" w:cs="Arial"/>
                <w:b/>
                <w:sz w:val="28"/>
                <w:szCs w:val="21"/>
              </w:rPr>
              <w:t>关于</w:t>
            </w:r>
            <w:r>
              <w:rPr>
                <w:rFonts w:hint="eastAsia"/>
                <w:b/>
                <w:sz w:val="32"/>
              </w:rPr>
              <w:t>XX的决议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spacing w:before="156" w:beforeLines="50" w:after="156" w:afterLines="50" w:line="276" w:lineRule="auto"/>
              <w:rPr>
                <w:rFonts w:ascii="Arial" w:hAnsi="Arial" w:cs="Arial"/>
                <w:sz w:val="28"/>
                <w:szCs w:val="21"/>
              </w:rPr>
            </w:pPr>
            <w:r>
              <w:rPr>
                <w:rFonts w:hint="eastAsia" w:ascii="Arial" w:hAnsi="Arial" w:cs="Arial"/>
                <w:sz w:val="28"/>
                <w:szCs w:val="21"/>
              </w:rPr>
              <w:t>表 决 项</w:t>
            </w:r>
          </w:p>
        </w:tc>
        <w:tc>
          <w:tcPr>
            <w:tcW w:w="2451" w:type="dxa"/>
            <w:vAlign w:val="center"/>
          </w:tcPr>
          <w:p>
            <w:pPr>
              <w:spacing w:before="156" w:beforeLines="50" w:after="156" w:afterLines="50" w:line="276" w:lineRule="auto"/>
              <w:rPr>
                <w:rFonts w:ascii="Arial" w:hAnsi="Arial" w:cs="Arial"/>
                <w:b/>
                <w:sz w:val="28"/>
                <w:szCs w:val="21"/>
              </w:rPr>
            </w:pPr>
            <w:r>
              <w:rPr>
                <w:rFonts w:hint="eastAsia" w:ascii="Arial" w:hAnsi="Arial" w:cs="Arial"/>
                <w:b/>
                <w:sz w:val="28"/>
                <w:szCs w:val="21"/>
              </w:rPr>
              <w:t>同意</w:t>
            </w:r>
          </w:p>
        </w:tc>
        <w:tc>
          <w:tcPr>
            <w:tcW w:w="2131" w:type="dxa"/>
            <w:vAlign w:val="center"/>
          </w:tcPr>
          <w:p>
            <w:pPr>
              <w:spacing w:before="156" w:beforeLines="50" w:after="156" w:afterLines="50" w:line="276" w:lineRule="auto"/>
              <w:rPr>
                <w:rFonts w:ascii="Arial" w:hAnsi="Arial" w:cs="Arial"/>
                <w:b/>
                <w:sz w:val="28"/>
                <w:szCs w:val="21"/>
              </w:rPr>
            </w:pPr>
            <w:r>
              <w:rPr>
                <w:rFonts w:hint="eastAsia" w:ascii="Arial" w:hAnsi="Arial" w:cs="Arial"/>
                <w:b/>
                <w:sz w:val="28"/>
                <w:szCs w:val="21"/>
              </w:rPr>
              <w:t>反对</w:t>
            </w:r>
          </w:p>
        </w:tc>
        <w:tc>
          <w:tcPr>
            <w:tcW w:w="2131" w:type="dxa"/>
            <w:vAlign w:val="center"/>
          </w:tcPr>
          <w:p>
            <w:pPr>
              <w:spacing w:before="156" w:beforeLines="50" w:after="156" w:afterLines="50" w:line="276" w:lineRule="auto"/>
              <w:rPr>
                <w:rFonts w:ascii="Arial" w:hAnsi="Arial" w:cs="Arial"/>
                <w:b/>
                <w:sz w:val="28"/>
                <w:szCs w:val="21"/>
              </w:rPr>
            </w:pPr>
            <w:r>
              <w:rPr>
                <w:rFonts w:hint="eastAsia" w:ascii="Arial" w:hAnsi="Arial" w:cs="Arial"/>
                <w:b/>
                <w:sz w:val="28"/>
                <w:szCs w:val="21"/>
              </w:rPr>
              <w:t>弃权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F2F2F2"/>
            <w:vAlign w:val="center"/>
          </w:tcPr>
          <w:p>
            <w:pPr>
              <w:spacing w:before="156" w:beforeLines="50" w:after="156" w:afterLines="50" w:line="276" w:lineRule="auto"/>
              <w:rPr>
                <w:rFonts w:ascii="Arial" w:hAnsi="Arial" w:cs="Arial"/>
                <w:sz w:val="28"/>
                <w:szCs w:val="21"/>
              </w:rPr>
            </w:pPr>
            <w:r>
              <w:rPr>
                <w:rFonts w:hint="eastAsia" w:ascii="Arial" w:hAnsi="Arial" w:cs="Arial"/>
                <w:sz w:val="28"/>
                <w:szCs w:val="21"/>
              </w:rPr>
              <w:t>表决结果</w:t>
            </w:r>
          </w:p>
        </w:tc>
        <w:tc>
          <w:tcPr>
            <w:tcW w:w="2451" w:type="dxa"/>
            <w:shd w:val="clear" w:color="auto" w:fill="F2F2F2"/>
            <w:vAlign w:val="center"/>
          </w:tcPr>
          <w:p>
            <w:pPr>
              <w:spacing w:before="156" w:beforeLines="50" w:after="156" w:afterLines="50" w:line="276" w:lineRule="auto"/>
              <w:ind w:firstLine="560" w:firstLineChars="200"/>
              <w:jc w:val="center"/>
              <w:rPr>
                <w:rFonts w:ascii="Arial" w:hAnsi="Arial" w:cs="Arial"/>
                <w:sz w:val="28"/>
                <w:szCs w:val="21"/>
              </w:rPr>
            </w:pPr>
          </w:p>
        </w:tc>
        <w:tc>
          <w:tcPr>
            <w:tcW w:w="2131" w:type="dxa"/>
            <w:shd w:val="clear" w:color="auto" w:fill="F2F2F2"/>
            <w:vAlign w:val="center"/>
          </w:tcPr>
          <w:p>
            <w:pPr>
              <w:spacing w:before="156" w:beforeLines="50" w:after="156" w:afterLines="50" w:line="276" w:lineRule="auto"/>
              <w:ind w:firstLine="560" w:firstLineChars="200"/>
              <w:jc w:val="center"/>
              <w:rPr>
                <w:rFonts w:ascii="Arial" w:hAnsi="Arial" w:cs="Arial"/>
                <w:sz w:val="28"/>
                <w:szCs w:val="21"/>
              </w:rPr>
            </w:pPr>
          </w:p>
        </w:tc>
        <w:tc>
          <w:tcPr>
            <w:tcW w:w="2131" w:type="dxa"/>
            <w:shd w:val="clear" w:color="auto" w:fill="F2F2F2"/>
            <w:vAlign w:val="center"/>
          </w:tcPr>
          <w:p>
            <w:pPr>
              <w:spacing w:before="156" w:beforeLines="50" w:after="156" w:afterLines="50" w:line="276" w:lineRule="auto"/>
              <w:ind w:firstLine="560" w:firstLineChars="200"/>
              <w:jc w:val="center"/>
              <w:rPr>
                <w:rFonts w:ascii="Arial" w:hAnsi="Arial" w:cs="Arial"/>
                <w:sz w:val="2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spacing w:before="156" w:beforeLines="50" w:after="156" w:afterLines="50" w:line="276" w:lineRule="auto"/>
              <w:rPr>
                <w:rFonts w:ascii="Arial" w:hAnsi="Arial" w:cs="Arial"/>
                <w:sz w:val="28"/>
                <w:szCs w:val="21"/>
              </w:rPr>
            </w:pPr>
            <w:r>
              <w:rPr>
                <w:rFonts w:hint="eastAsia" w:ascii="Arial" w:hAnsi="Arial" w:cs="Arial"/>
                <w:sz w:val="28"/>
                <w:szCs w:val="21"/>
              </w:rPr>
              <w:t>表 决 人</w:t>
            </w:r>
          </w:p>
        </w:tc>
        <w:tc>
          <w:tcPr>
            <w:tcW w:w="6713" w:type="dxa"/>
            <w:gridSpan w:val="3"/>
            <w:vAlign w:val="center"/>
          </w:tcPr>
          <w:p>
            <w:pPr>
              <w:spacing w:before="156" w:beforeLines="50" w:after="156" w:afterLines="50" w:line="276" w:lineRule="auto"/>
              <w:ind w:firstLine="560" w:firstLineChars="200"/>
              <w:jc w:val="center"/>
              <w:rPr>
                <w:rFonts w:ascii="Arial" w:hAnsi="Arial" w:cs="Arial"/>
                <w:sz w:val="28"/>
                <w:szCs w:val="21"/>
              </w:rPr>
            </w:pPr>
            <w:r>
              <w:rPr>
                <w:rFonts w:hint="eastAsia" w:ascii="Arial" w:hAnsi="Arial" w:cs="Arial"/>
                <w:sz w:val="28"/>
                <w:szCs w:val="21"/>
              </w:rPr>
              <w:t>签名：</w:t>
            </w:r>
          </w:p>
        </w:tc>
      </w:tr>
    </w:tbl>
    <w:p>
      <w:pPr>
        <w:spacing w:before="240" w:line="276" w:lineRule="auto"/>
        <w:ind w:firstLine="480" w:firstLineChars="200"/>
        <w:jc w:val="center"/>
        <w:rPr>
          <w:rFonts w:ascii="Arial" w:hAnsi="Arial" w:cs="Arial"/>
          <w:sz w:val="24"/>
          <w:szCs w:val="21"/>
        </w:rPr>
      </w:pPr>
    </w:p>
    <w:p>
      <w:pPr>
        <w:spacing w:before="240" w:line="276" w:lineRule="auto"/>
        <w:ind w:firstLine="420" w:firstLineChars="200"/>
        <w:jc w:val="center"/>
        <w:rPr>
          <w:rFonts w:ascii="Arial" w:hAnsi="Arial" w:cs="Arial"/>
          <w:sz w:val="24"/>
          <w:szCs w:val="21"/>
        </w:rPr>
      </w:pPr>
      <w:r>
        <mc:AlternateContent>
          <mc:Choice Requires="wps">
            <w:drawing>
              <wp:anchor distT="0" distB="0" distL="114300" distR="114300" simplePos="0" relativeHeight="251666432" behindDoc="0" locked="0" layoutInCell="1" allowOverlap="1">
                <wp:simplePos x="0" y="0"/>
                <wp:positionH relativeFrom="column">
                  <wp:posOffset>-1143000</wp:posOffset>
                </wp:positionH>
                <wp:positionV relativeFrom="paragraph">
                  <wp:posOffset>222250</wp:posOffset>
                </wp:positionV>
                <wp:extent cx="7569200" cy="635"/>
                <wp:effectExtent l="0" t="0" r="12700" b="3746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7569200" cy="635"/>
                        </a:xfrm>
                        <a:prstGeom prst="line">
                          <a:avLst/>
                        </a:prstGeom>
                        <a:noFill/>
                        <a:ln w="9525">
                          <a:solidFill>
                            <a:srgbClr val="4A7DBA"/>
                          </a:solidFill>
                          <a:prstDash val="dash"/>
                          <a:round/>
                        </a:ln>
                      </wps:spPr>
                      <wps:bodyPr/>
                    </wps:wsp>
                  </a:graphicData>
                </a:graphic>
              </wp:anchor>
            </w:drawing>
          </mc:Choice>
          <mc:Fallback>
            <w:pict>
              <v:line id="_x0000_s1026" o:spid="_x0000_s1026" o:spt="20" style="position:absolute;left:0pt;margin-left:-90pt;margin-top:17.5pt;height:0.05pt;width:596pt;z-index:251666432;mso-width-relative:page;mso-height-relative:page;" filled="f" stroked="t" coordsize="21600,21600" o:gfxdata="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yNJiN2wAAAAsBAAAPAAAAAAAAAAEAIAAAACIAAABkcnMvZG93bnJldi54&#10;bWxQSwECFAAUAAAACACHTuJAFsdA2fcBAADEAwAADgAAAAAAAAABACAAAAAqAQAAZHJzL2Uyb0Rv&#10;Yy54bWxQSwUGAAAAAAYABgBZAQAAkwUAAAAA&#10;">
                <v:fill on="f" focussize="0,0"/>
                <v:stroke color="#4A7DBA" joinstyle="round" dashstyle="dash"/>
                <v:imagedata o:title=""/>
                <o:lock v:ext="edit" aspectratio="f"/>
              </v:line>
            </w:pict>
          </mc:Fallback>
        </mc:AlternateContent>
      </w:r>
    </w:p>
    <w:p>
      <w:pPr>
        <w:spacing w:before="240" w:line="276" w:lineRule="auto"/>
        <w:ind w:firstLine="480" w:firstLineChars="200"/>
        <w:jc w:val="center"/>
        <w:rPr>
          <w:rFonts w:ascii="Arial" w:hAnsi="Arial" w:cs="Arial"/>
          <w:sz w:val="24"/>
          <w:szCs w:val="21"/>
        </w:rPr>
      </w:pPr>
    </w:p>
    <w:p>
      <w:pPr>
        <w:spacing w:line="276" w:lineRule="auto"/>
        <w:ind w:firstLine="480" w:firstLineChars="200"/>
        <w:jc w:val="center"/>
        <w:rPr>
          <w:rFonts w:ascii="微软雅黑" w:hAnsi="微软雅黑" w:eastAsia="微软雅黑" w:cs="Arial"/>
          <w:b/>
          <w:sz w:val="24"/>
          <w:szCs w:val="24"/>
        </w:rPr>
      </w:pPr>
      <w:r>
        <w:rPr>
          <w:rFonts w:hint="eastAsia" w:ascii="微软雅黑" w:hAnsi="微软雅黑" w:eastAsia="微软雅黑" w:cs="Arial"/>
          <w:b/>
          <w:sz w:val="24"/>
          <w:szCs w:val="24"/>
          <w:lang w:eastAsia="zh-CN"/>
        </w:rPr>
        <w:t>北京天地文化发展</w:t>
      </w:r>
      <w:r>
        <w:rPr>
          <w:rFonts w:hint="eastAsia" w:ascii="微软雅黑" w:hAnsi="微软雅黑" w:eastAsia="微软雅黑" w:cs="Arial"/>
          <w:b/>
          <w:sz w:val="24"/>
          <w:szCs w:val="24"/>
        </w:rPr>
        <w:t>基金会第X届理事会</w:t>
      </w:r>
    </w:p>
    <w:p>
      <w:pPr>
        <w:spacing w:line="276" w:lineRule="auto"/>
        <w:ind w:firstLine="480" w:firstLineChars="200"/>
        <w:jc w:val="center"/>
        <w:rPr>
          <w:rFonts w:ascii="微软雅黑" w:hAnsi="微软雅黑" w:eastAsia="微软雅黑" w:cs="Arial"/>
          <w:b/>
          <w:sz w:val="24"/>
          <w:szCs w:val="24"/>
        </w:rPr>
      </w:pPr>
      <w:r>
        <w:rPr>
          <w:rFonts w:hint="eastAsia" w:ascii="微软雅黑" w:hAnsi="微软雅黑" w:eastAsia="微软雅黑" w:cs="Arial"/>
          <w:b/>
          <w:sz w:val="24"/>
          <w:szCs w:val="24"/>
        </w:rPr>
        <w:t>决议表决票</w:t>
      </w:r>
    </w:p>
    <w:tbl>
      <w:tblPr>
        <w:tblStyle w:val="9"/>
        <w:tblW w:w="85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451"/>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F2F2F2"/>
            <w:vAlign w:val="center"/>
          </w:tcPr>
          <w:p>
            <w:pPr>
              <w:spacing w:before="312" w:beforeLines="100" w:after="156" w:afterLines="50" w:line="276" w:lineRule="auto"/>
              <w:rPr>
                <w:rFonts w:ascii="Arial" w:hAnsi="Arial" w:cs="Arial"/>
                <w:sz w:val="28"/>
                <w:szCs w:val="21"/>
              </w:rPr>
            </w:pPr>
            <w:r>
              <w:rPr>
                <w:rFonts w:hint="eastAsia" w:ascii="Arial" w:hAnsi="Arial" w:cs="Arial"/>
                <w:sz w:val="28"/>
                <w:szCs w:val="21"/>
              </w:rPr>
              <w:t>决议内容</w:t>
            </w:r>
          </w:p>
        </w:tc>
        <w:tc>
          <w:tcPr>
            <w:tcW w:w="6713" w:type="dxa"/>
            <w:gridSpan w:val="3"/>
            <w:shd w:val="clear" w:color="auto" w:fill="F2F2F2"/>
            <w:vAlign w:val="center"/>
          </w:tcPr>
          <w:p>
            <w:pPr>
              <w:spacing w:before="312" w:beforeLines="100" w:after="156" w:afterLines="50" w:line="276" w:lineRule="auto"/>
              <w:jc w:val="center"/>
              <w:rPr>
                <w:rFonts w:ascii="Arial" w:hAnsi="Arial" w:cs="Arial"/>
                <w:b/>
                <w:sz w:val="28"/>
                <w:szCs w:val="21"/>
              </w:rPr>
            </w:pPr>
            <w:r>
              <w:rPr>
                <w:rFonts w:hint="eastAsia"/>
                <w:b/>
                <w:sz w:val="28"/>
              </w:rPr>
              <w:t>关于XX的决议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spacing w:before="156" w:beforeLines="50" w:after="156" w:afterLines="50" w:line="276" w:lineRule="auto"/>
              <w:rPr>
                <w:rFonts w:ascii="Arial" w:hAnsi="Arial" w:cs="Arial"/>
                <w:sz w:val="28"/>
                <w:szCs w:val="21"/>
              </w:rPr>
            </w:pPr>
            <w:r>
              <w:rPr>
                <w:rFonts w:hint="eastAsia" w:ascii="Arial" w:hAnsi="Arial" w:cs="Arial"/>
                <w:sz w:val="28"/>
                <w:szCs w:val="21"/>
              </w:rPr>
              <w:t>表 决 项</w:t>
            </w:r>
          </w:p>
        </w:tc>
        <w:tc>
          <w:tcPr>
            <w:tcW w:w="2451" w:type="dxa"/>
            <w:vAlign w:val="center"/>
          </w:tcPr>
          <w:p>
            <w:pPr>
              <w:spacing w:before="156" w:beforeLines="50" w:after="156" w:afterLines="50" w:line="276" w:lineRule="auto"/>
              <w:rPr>
                <w:rFonts w:ascii="Arial" w:hAnsi="Arial" w:cs="Arial"/>
                <w:b/>
                <w:sz w:val="28"/>
                <w:szCs w:val="21"/>
              </w:rPr>
            </w:pPr>
            <w:r>
              <w:rPr>
                <w:rFonts w:hint="eastAsia" w:ascii="Arial" w:hAnsi="Arial" w:cs="Arial"/>
                <w:b/>
                <w:sz w:val="28"/>
                <w:szCs w:val="21"/>
              </w:rPr>
              <w:t>同意</w:t>
            </w:r>
          </w:p>
        </w:tc>
        <w:tc>
          <w:tcPr>
            <w:tcW w:w="2131" w:type="dxa"/>
            <w:vAlign w:val="center"/>
          </w:tcPr>
          <w:p>
            <w:pPr>
              <w:spacing w:before="156" w:beforeLines="50" w:after="156" w:afterLines="50" w:line="276" w:lineRule="auto"/>
              <w:rPr>
                <w:rFonts w:ascii="Arial" w:hAnsi="Arial" w:cs="Arial"/>
                <w:b/>
                <w:sz w:val="28"/>
                <w:szCs w:val="21"/>
              </w:rPr>
            </w:pPr>
            <w:r>
              <w:rPr>
                <w:rFonts w:hint="eastAsia" w:ascii="Arial" w:hAnsi="Arial" w:cs="Arial"/>
                <w:b/>
                <w:sz w:val="28"/>
                <w:szCs w:val="21"/>
              </w:rPr>
              <w:t>反对</w:t>
            </w:r>
          </w:p>
        </w:tc>
        <w:tc>
          <w:tcPr>
            <w:tcW w:w="2131" w:type="dxa"/>
            <w:vAlign w:val="center"/>
          </w:tcPr>
          <w:p>
            <w:pPr>
              <w:spacing w:before="156" w:beforeLines="50" w:after="156" w:afterLines="50" w:line="276" w:lineRule="auto"/>
              <w:rPr>
                <w:rFonts w:ascii="Arial" w:hAnsi="Arial" w:cs="Arial"/>
                <w:b/>
                <w:sz w:val="28"/>
                <w:szCs w:val="21"/>
              </w:rPr>
            </w:pPr>
            <w:r>
              <w:rPr>
                <w:rFonts w:hint="eastAsia" w:ascii="Arial" w:hAnsi="Arial" w:cs="Arial"/>
                <w:b/>
                <w:sz w:val="28"/>
                <w:szCs w:val="21"/>
              </w:rPr>
              <w:t>弃权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F2F2F2"/>
            <w:vAlign w:val="center"/>
          </w:tcPr>
          <w:p>
            <w:pPr>
              <w:spacing w:before="156" w:beforeLines="50" w:after="156" w:afterLines="50" w:line="276" w:lineRule="auto"/>
              <w:rPr>
                <w:rFonts w:ascii="Arial" w:hAnsi="Arial" w:cs="Arial"/>
                <w:sz w:val="28"/>
                <w:szCs w:val="21"/>
              </w:rPr>
            </w:pPr>
            <w:r>
              <w:rPr>
                <w:rFonts w:hint="eastAsia" w:ascii="Arial" w:hAnsi="Arial" w:cs="Arial"/>
                <w:sz w:val="28"/>
                <w:szCs w:val="21"/>
              </w:rPr>
              <w:t>表决结果</w:t>
            </w:r>
          </w:p>
        </w:tc>
        <w:tc>
          <w:tcPr>
            <w:tcW w:w="2451" w:type="dxa"/>
            <w:shd w:val="clear" w:color="auto" w:fill="F2F2F2"/>
            <w:vAlign w:val="center"/>
          </w:tcPr>
          <w:p>
            <w:pPr>
              <w:spacing w:before="156" w:beforeLines="50" w:after="156" w:afterLines="50" w:line="276" w:lineRule="auto"/>
              <w:ind w:firstLine="560" w:firstLineChars="200"/>
              <w:jc w:val="center"/>
              <w:rPr>
                <w:rFonts w:ascii="Arial" w:hAnsi="Arial" w:cs="Arial"/>
                <w:sz w:val="28"/>
                <w:szCs w:val="21"/>
              </w:rPr>
            </w:pPr>
          </w:p>
        </w:tc>
        <w:tc>
          <w:tcPr>
            <w:tcW w:w="2131" w:type="dxa"/>
            <w:shd w:val="clear" w:color="auto" w:fill="F2F2F2"/>
            <w:vAlign w:val="center"/>
          </w:tcPr>
          <w:p>
            <w:pPr>
              <w:spacing w:before="156" w:beforeLines="50" w:after="156" w:afterLines="50" w:line="276" w:lineRule="auto"/>
              <w:ind w:firstLine="560" w:firstLineChars="200"/>
              <w:jc w:val="center"/>
              <w:rPr>
                <w:rFonts w:ascii="Arial" w:hAnsi="Arial" w:cs="Arial"/>
                <w:sz w:val="28"/>
                <w:szCs w:val="21"/>
              </w:rPr>
            </w:pPr>
          </w:p>
        </w:tc>
        <w:tc>
          <w:tcPr>
            <w:tcW w:w="2131" w:type="dxa"/>
            <w:shd w:val="clear" w:color="auto" w:fill="F2F2F2"/>
            <w:vAlign w:val="center"/>
          </w:tcPr>
          <w:p>
            <w:pPr>
              <w:spacing w:before="156" w:beforeLines="50" w:after="156" w:afterLines="50" w:line="276" w:lineRule="auto"/>
              <w:ind w:firstLine="560" w:firstLineChars="200"/>
              <w:jc w:val="center"/>
              <w:rPr>
                <w:rFonts w:ascii="Arial" w:hAnsi="Arial" w:cs="Arial"/>
                <w:sz w:val="2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spacing w:before="156" w:beforeLines="50" w:after="156" w:afterLines="50" w:line="276" w:lineRule="auto"/>
              <w:rPr>
                <w:rFonts w:ascii="Arial" w:hAnsi="Arial" w:cs="Arial"/>
                <w:sz w:val="28"/>
                <w:szCs w:val="21"/>
              </w:rPr>
            </w:pPr>
            <w:r>
              <w:rPr>
                <w:rFonts w:hint="eastAsia" w:ascii="Arial" w:hAnsi="Arial" w:cs="Arial"/>
                <w:sz w:val="28"/>
                <w:szCs w:val="21"/>
              </w:rPr>
              <w:t>表 决 人</w:t>
            </w:r>
          </w:p>
        </w:tc>
        <w:tc>
          <w:tcPr>
            <w:tcW w:w="6713" w:type="dxa"/>
            <w:gridSpan w:val="3"/>
            <w:vAlign w:val="center"/>
          </w:tcPr>
          <w:p>
            <w:pPr>
              <w:spacing w:before="156" w:beforeLines="50" w:after="156" w:afterLines="50" w:line="276" w:lineRule="auto"/>
              <w:ind w:firstLine="560" w:firstLineChars="200"/>
              <w:jc w:val="center"/>
              <w:rPr>
                <w:rFonts w:ascii="Arial" w:hAnsi="Arial" w:cs="Arial"/>
                <w:sz w:val="28"/>
                <w:szCs w:val="21"/>
              </w:rPr>
            </w:pPr>
            <w:r>
              <w:rPr>
                <w:rFonts w:hint="eastAsia" w:ascii="Arial" w:hAnsi="Arial" w:cs="Arial"/>
                <w:sz w:val="28"/>
                <w:szCs w:val="21"/>
              </w:rPr>
              <w:t>签名：</w:t>
            </w:r>
          </w:p>
        </w:tc>
      </w:tr>
    </w:tbl>
    <w:p>
      <w:pPr>
        <w:spacing w:before="240" w:line="276" w:lineRule="auto"/>
        <w:ind w:firstLine="480" w:firstLineChars="200"/>
        <w:jc w:val="left"/>
        <w:rPr>
          <w:rFonts w:ascii="Arial" w:hAnsi="Arial" w:cs="Arial"/>
          <w:sz w:val="24"/>
          <w:szCs w:val="21"/>
        </w:rPr>
      </w:pPr>
    </w:p>
    <w:p>
      <w:pPr>
        <w:spacing w:before="240" w:line="276" w:lineRule="auto"/>
        <w:ind w:firstLine="480" w:firstLineChars="200"/>
        <w:jc w:val="left"/>
        <w:rPr>
          <w:rFonts w:ascii="Arial" w:hAnsi="Arial" w:cs="Arial"/>
          <w:sz w:val="24"/>
          <w:szCs w:val="21"/>
        </w:rPr>
      </w:pPr>
    </w:p>
    <w:p>
      <w:pPr>
        <w:spacing w:line="360" w:lineRule="auto"/>
        <w:outlineLvl w:val="1"/>
        <w:rPr>
          <w:rFonts w:asciiTheme="minorEastAsia" w:hAnsiTheme="minorEastAsia"/>
          <w:sz w:val="24"/>
          <w:szCs w:val="24"/>
        </w:rPr>
      </w:pPr>
      <w:bookmarkStart w:id="57" w:name="_Toc2116"/>
      <w:bookmarkStart w:id="58" w:name="_Toc403829202"/>
      <w:r>
        <w:rPr>
          <w:rFonts w:hint="eastAsia" w:asciiTheme="minorEastAsia" w:hAnsiTheme="minorEastAsia"/>
          <w:sz w:val="24"/>
          <w:szCs w:val="24"/>
        </w:rPr>
        <w:t>附件4-1：《法人登记证书使用申请表》</w:t>
      </w:r>
      <w:bookmarkEnd w:id="57"/>
      <w:bookmarkEnd w:id="58"/>
    </w:p>
    <w:p>
      <w:pPr>
        <w:spacing w:before="156" w:beforeLines="50" w:after="156" w:afterLines="50" w:line="360" w:lineRule="auto"/>
        <w:jc w:val="center"/>
        <w:rPr>
          <w:rFonts w:ascii="微软雅黑" w:hAnsi="微软雅黑" w:eastAsia="微软雅黑"/>
          <w:b/>
          <w:bCs/>
          <w:sz w:val="28"/>
          <w:szCs w:val="28"/>
        </w:rPr>
      </w:pPr>
      <w:r>
        <w:rPr>
          <w:rFonts w:hint="eastAsia" w:ascii="微软雅黑" w:hAnsi="微软雅黑" w:eastAsia="微软雅黑"/>
          <w:b/>
          <w:bCs/>
          <w:sz w:val="28"/>
          <w:szCs w:val="28"/>
          <w:lang w:eastAsia="zh-CN"/>
        </w:rPr>
        <w:t>北京天地文化发展</w:t>
      </w:r>
      <w:r>
        <w:rPr>
          <w:rFonts w:hint="eastAsia" w:ascii="微软雅黑" w:hAnsi="微软雅黑" w:eastAsia="微软雅黑"/>
          <w:b/>
          <w:bCs/>
          <w:sz w:val="28"/>
          <w:szCs w:val="28"/>
        </w:rPr>
        <w:t>基金会法人登记证书使用申请表</w:t>
      </w:r>
    </w:p>
    <w:tbl>
      <w:tblPr>
        <w:tblStyle w:val="9"/>
        <w:tblW w:w="8246"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55"/>
        <w:gridCol w:w="1792"/>
        <w:gridCol w:w="1052"/>
        <w:gridCol w:w="1295"/>
        <w:gridCol w:w="205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54" w:hRule="atLeast"/>
          <w:jc w:val="center"/>
        </w:trPr>
        <w:tc>
          <w:tcPr>
            <w:tcW w:w="2055"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N w:val="0"/>
              <w:rPr>
                <w:rFonts w:hAnsi="宋体"/>
                <w:color w:val="000000"/>
                <w:sz w:val="19"/>
              </w:rPr>
            </w:pPr>
            <w:r>
              <w:rPr>
                <w:rFonts w:ascii="宋体" w:hAnsi="宋体"/>
                <w:color w:val="333333"/>
                <w:sz w:val="24"/>
              </w:rPr>
              <w:t>申请使用</w:t>
            </w:r>
            <w:r>
              <w:rPr>
                <w:rFonts w:hint="eastAsia" w:ascii="宋体" w:hAnsi="宋体"/>
                <w:color w:val="333333"/>
                <w:sz w:val="24"/>
              </w:rPr>
              <w:t>人</w:t>
            </w:r>
          </w:p>
        </w:tc>
        <w:tc>
          <w:tcPr>
            <w:tcW w:w="6191" w:type="dxa"/>
            <w:gridSpan w:val="4"/>
            <w:tcBorders>
              <w:left w:val="outset" w:color="auto" w:sz="6" w:space="0"/>
            </w:tcBorders>
            <w:tcMar>
              <w:top w:w="0" w:type="dxa"/>
              <w:left w:w="108" w:type="dxa"/>
              <w:bottom w:w="0" w:type="dxa"/>
              <w:right w:w="108" w:type="dxa"/>
            </w:tcMar>
            <w:vAlign w:val="center"/>
          </w:tcPr>
          <w:p>
            <w:pPr>
              <w:autoSpaceDN w:val="0"/>
              <w:jc w:val="center"/>
              <w:rPr>
                <w:rFonts w:hAnsi="宋体"/>
                <w:color w:val="000000"/>
                <w:sz w:val="19"/>
              </w:rPr>
            </w:pPr>
            <w:r>
              <w:rPr>
                <w:rFonts w:ascii="宋体" w:hAnsi="宋体"/>
                <w:color w:val="333333"/>
                <w:sz w:val="24"/>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50" w:hRule="atLeast"/>
          <w:jc w:val="center"/>
        </w:trPr>
        <w:tc>
          <w:tcPr>
            <w:tcW w:w="2055" w:type="dxa"/>
            <w:tcBorders>
              <w:top w:val="outset" w:color="auto" w:sz="6" w:space="0"/>
            </w:tcBorders>
            <w:tcMar>
              <w:top w:w="0" w:type="dxa"/>
              <w:left w:w="108" w:type="dxa"/>
              <w:bottom w:w="0" w:type="dxa"/>
              <w:right w:w="108" w:type="dxa"/>
            </w:tcMar>
            <w:vAlign w:val="center"/>
          </w:tcPr>
          <w:p>
            <w:pPr>
              <w:autoSpaceDN w:val="0"/>
              <w:rPr>
                <w:rFonts w:hAnsi="宋体"/>
                <w:color w:val="000000"/>
                <w:sz w:val="19"/>
              </w:rPr>
            </w:pPr>
            <w:r>
              <w:rPr>
                <w:rFonts w:ascii="宋体" w:hAnsi="宋体"/>
                <w:color w:val="333333"/>
                <w:sz w:val="24"/>
              </w:rPr>
              <w:t>经办人</w:t>
            </w:r>
          </w:p>
        </w:tc>
        <w:tc>
          <w:tcPr>
            <w:tcW w:w="1792" w:type="dxa"/>
            <w:tcBorders>
              <w:top w:val="outset" w:color="auto" w:sz="6" w:space="0"/>
              <w:left w:val="outset" w:color="auto" w:sz="6" w:space="0"/>
            </w:tcBorders>
            <w:tcMar>
              <w:top w:w="0" w:type="dxa"/>
              <w:left w:w="108" w:type="dxa"/>
              <w:bottom w:w="0" w:type="dxa"/>
              <w:right w:w="108" w:type="dxa"/>
            </w:tcMar>
            <w:vAlign w:val="center"/>
          </w:tcPr>
          <w:p>
            <w:pPr>
              <w:autoSpaceDN w:val="0"/>
              <w:jc w:val="center"/>
              <w:rPr>
                <w:rFonts w:hAnsi="宋体"/>
                <w:color w:val="000000"/>
                <w:sz w:val="19"/>
              </w:rPr>
            </w:pPr>
            <w:r>
              <w:rPr>
                <w:rFonts w:ascii="宋体" w:hAnsi="宋体"/>
                <w:color w:val="333333"/>
                <w:sz w:val="24"/>
              </w:rPr>
              <w:t xml:space="preserve"> </w:t>
            </w:r>
          </w:p>
        </w:tc>
        <w:tc>
          <w:tcPr>
            <w:tcW w:w="2347" w:type="dxa"/>
            <w:gridSpan w:val="2"/>
            <w:tcBorders>
              <w:top w:val="outset" w:color="auto" w:sz="6" w:space="0"/>
              <w:left w:val="outset" w:color="auto" w:sz="6" w:space="0"/>
            </w:tcBorders>
            <w:tcMar>
              <w:top w:w="0" w:type="dxa"/>
              <w:left w:w="108" w:type="dxa"/>
              <w:bottom w:w="0" w:type="dxa"/>
              <w:right w:w="108" w:type="dxa"/>
            </w:tcMar>
            <w:vAlign w:val="center"/>
          </w:tcPr>
          <w:p>
            <w:pPr>
              <w:autoSpaceDN w:val="0"/>
              <w:rPr>
                <w:rFonts w:hAnsi="宋体"/>
                <w:color w:val="000000"/>
                <w:sz w:val="19"/>
              </w:rPr>
            </w:pPr>
            <w:r>
              <w:rPr>
                <w:rFonts w:ascii="宋体" w:hAnsi="宋体"/>
                <w:color w:val="333333"/>
                <w:sz w:val="24"/>
              </w:rPr>
              <w:t>联系电话</w:t>
            </w:r>
          </w:p>
        </w:tc>
        <w:tc>
          <w:tcPr>
            <w:tcW w:w="2052" w:type="dxa"/>
            <w:tcBorders>
              <w:top w:val="outset" w:color="auto" w:sz="6" w:space="0"/>
              <w:left w:val="outset" w:color="auto" w:sz="6" w:space="0"/>
            </w:tcBorders>
            <w:tcMar>
              <w:top w:w="0" w:type="dxa"/>
              <w:left w:w="108" w:type="dxa"/>
              <w:bottom w:w="0" w:type="dxa"/>
              <w:right w:w="108" w:type="dxa"/>
            </w:tcMar>
            <w:vAlign w:val="center"/>
          </w:tcPr>
          <w:p>
            <w:pPr>
              <w:autoSpaceDN w:val="0"/>
              <w:jc w:val="center"/>
              <w:rPr>
                <w:rFonts w:hAnsi="宋体"/>
                <w:color w:val="000000"/>
                <w:sz w:val="19"/>
              </w:rPr>
            </w:pPr>
            <w:r>
              <w:rPr>
                <w:rFonts w:ascii="宋体" w:hAnsi="宋体"/>
                <w:color w:val="333333"/>
                <w:sz w:val="24"/>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50" w:hRule="atLeast"/>
          <w:jc w:val="center"/>
        </w:trPr>
        <w:tc>
          <w:tcPr>
            <w:tcW w:w="2055" w:type="dxa"/>
            <w:tcBorders>
              <w:top w:val="outset" w:color="auto" w:sz="6" w:space="0"/>
            </w:tcBorders>
            <w:tcMar>
              <w:top w:w="0" w:type="dxa"/>
              <w:left w:w="108" w:type="dxa"/>
              <w:bottom w:w="0" w:type="dxa"/>
              <w:right w:w="108" w:type="dxa"/>
            </w:tcMar>
            <w:vAlign w:val="center"/>
          </w:tcPr>
          <w:p>
            <w:pPr>
              <w:autoSpaceDN w:val="0"/>
              <w:rPr>
                <w:rFonts w:hAnsi="宋体"/>
                <w:color w:val="000000"/>
                <w:sz w:val="19"/>
              </w:rPr>
            </w:pPr>
            <w:r>
              <w:rPr>
                <w:rFonts w:ascii="宋体" w:hAnsi="宋体"/>
                <w:color w:val="333333"/>
                <w:sz w:val="24"/>
              </w:rPr>
              <w:t>使用证件类型</w:t>
            </w:r>
          </w:p>
        </w:tc>
        <w:tc>
          <w:tcPr>
            <w:tcW w:w="2844" w:type="dxa"/>
            <w:gridSpan w:val="2"/>
            <w:tcBorders>
              <w:top w:val="outset" w:color="auto" w:sz="6" w:space="0"/>
              <w:left w:val="outset" w:color="auto" w:sz="6" w:space="0"/>
            </w:tcBorders>
            <w:tcMar>
              <w:top w:w="0" w:type="dxa"/>
              <w:left w:w="108" w:type="dxa"/>
              <w:bottom w:w="0" w:type="dxa"/>
              <w:right w:w="108" w:type="dxa"/>
            </w:tcMar>
            <w:vAlign w:val="center"/>
          </w:tcPr>
          <w:p>
            <w:pPr>
              <w:autoSpaceDN w:val="0"/>
              <w:jc w:val="center"/>
              <w:rPr>
                <w:rFonts w:hAnsi="宋体"/>
                <w:color w:val="000000"/>
                <w:sz w:val="19"/>
              </w:rPr>
            </w:pPr>
            <w:r>
              <w:rPr>
                <w:rFonts w:ascii="宋体" w:hAnsi="宋体"/>
                <w:color w:val="333333"/>
                <w:sz w:val="24"/>
              </w:rPr>
              <w:t>法人证书原件（  ）本</w:t>
            </w:r>
          </w:p>
        </w:tc>
        <w:tc>
          <w:tcPr>
            <w:tcW w:w="3347" w:type="dxa"/>
            <w:gridSpan w:val="2"/>
            <w:tcBorders>
              <w:top w:val="outset" w:color="auto" w:sz="6" w:space="0"/>
              <w:left w:val="outset" w:color="auto" w:sz="6" w:space="0"/>
            </w:tcBorders>
            <w:tcMar>
              <w:top w:w="0" w:type="dxa"/>
              <w:left w:w="108" w:type="dxa"/>
              <w:bottom w:w="0" w:type="dxa"/>
              <w:right w:w="108" w:type="dxa"/>
            </w:tcMar>
            <w:vAlign w:val="center"/>
          </w:tcPr>
          <w:p>
            <w:pPr>
              <w:autoSpaceDN w:val="0"/>
              <w:jc w:val="center"/>
              <w:rPr>
                <w:rFonts w:hAnsi="宋体"/>
                <w:color w:val="000000"/>
                <w:sz w:val="19"/>
              </w:rPr>
            </w:pPr>
            <w:r>
              <w:rPr>
                <w:rFonts w:ascii="宋体" w:hAnsi="宋体"/>
                <w:color w:val="333333"/>
                <w:sz w:val="24"/>
              </w:rPr>
              <w:t>法人证书复印件（  ）份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262" w:hRule="atLeast"/>
          <w:jc w:val="center"/>
        </w:trPr>
        <w:tc>
          <w:tcPr>
            <w:tcW w:w="8246" w:type="dxa"/>
            <w:gridSpan w:val="5"/>
            <w:tcBorders>
              <w:top w:val="outset" w:color="auto" w:sz="6" w:space="0"/>
            </w:tcBorders>
            <w:tcMar>
              <w:top w:w="0" w:type="dxa"/>
              <w:left w:w="108" w:type="dxa"/>
              <w:bottom w:w="0" w:type="dxa"/>
              <w:right w:w="108" w:type="dxa"/>
            </w:tcMar>
          </w:tcPr>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申请使用理由</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sz w:val="19"/>
              </w:rPr>
            </w:pPr>
            <w:r>
              <w:rPr>
                <w:rFonts w:ascii="宋体" w:hAnsi="宋体"/>
                <w:color w:val="333333"/>
                <w:sz w:val="24"/>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480" w:hRule="atLeast"/>
          <w:jc w:val="center"/>
        </w:trPr>
        <w:tc>
          <w:tcPr>
            <w:tcW w:w="8246" w:type="dxa"/>
            <w:gridSpan w:val="5"/>
            <w:tcBorders>
              <w:top w:val="outset" w:color="auto" w:sz="6" w:space="0"/>
            </w:tcBorders>
            <w:tcMar>
              <w:top w:w="0" w:type="dxa"/>
              <w:left w:w="108" w:type="dxa"/>
              <w:bottom w:w="0" w:type="dxa"/>
              <w:right w:w="108" w:type="dxa"/>
            </w:tcMar>
          </w:tcPr>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申请部门负责人签字：</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申请日期：    年   月   日</w:t>
            </w:r>
          </w:p>
          <w:p>
            <w:pPr>
              <w:autoSpaceDN w:val="0"/>
              <w:jc w:val="left"/>
              <w:rPr>
                <w:rFonts w:hAnsi="宋体"/>
                <w:color w:val="000000"/>
                <w:sz w:val="19"/>
              </w:rPr>
            </w:pPr>
            <w:r>
              <w:rPr>
                <w:rFonts w:ascii="宋体" w:hAnsi="宋体"/>
                <w:color w:val="333333"/>
                <w:sz w:val="24"/>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480" w:hRule="atLeast"/>
          <w:jc w:val="center"/>
        </w:trPr>
        <w:tc>
          <w:tcPr>
            <w:tcW w:w="8246" w:type="dxa"/>
            <w:gridSpan w:val="5"/>
            <w:tcBorders>
              <w:top w:val="outset" w:color="auto" w:sz="6" w:space="0"/>
            </w:tcBorders>
            <w:tcMar>
              <w:top w:w="0" w:type="dxa"/>
              <w:left w:w="108" w:type="dxa"/>
              <w:bottom w:w="0" w:type="dxa"/>
              <w:right w:w="108" w:type="dxa"/>
            </w:tcMar>
          </w:tcPr>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基金会秘书处审批意见</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rPr>
            </w:pPr>
            <w:r>
              <w:rPr>
                <w:rFonts w:ascii="宋体" w:hAnsi="宋体"/>
                <w:color w:val="333333"/>
                <w:sz w:val="24"/>
              </w:rPr>
              <w:t xml:space="preserve"> </w:t>
            </w:r>
          </w:p>
          <w:p>
            <w:pPr>
              <w:autoSpaceDN w:val="0"/>
              <w:jc w:val="left"/>
              <w:rPr>
                <w:rFonts w:hAnsi="宋体"/>
                <w:color w:val="000000"/>
                <w:sz w:val="19"/>
              </w:rPr>
            </w:pPr>
            <w:r>
              <w:rPr>
                <w:rFonts w:ascii="宋体" w:hAnsi="宋体"/>
                <w:color w:val="333333"/>
                <w:sz w:val="24"/>
              </w:rPr>
              <w:t>批准人：                                 日期：    年   月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2055" w:type="dxa"/>
            <w:vAlign w:val="center"/>
          </w:tcPr>
          <w:p>
            <w:pPr>
              <w:autoSpaceDN w:val="0"/>
              <w:rPr>
                <w:rFonts w:ascii="宋体" w:hAnsi="宋体"/>
                <w:color w:val="000000"/>
                <w:sz w:val="19"/>
              </w:rPr>
            </w:pPr>
          </w:p>
        </w:tc>
        <w:tc>
          <w:tcPr>
            <w:tcW w:w="1792" w:type="dxa"/>
            <w:vAlign w:val="center"/>
          </w:tcPr>
          <w:p>
            <w:pPr>
              <w:autoSpaceDN w:val="0"/>
              <w:rPr>
                <w:rFonts w:ascii="宋体" w:hAnsi="宋体"/>
                <w:color w:val="000000"/>
                <w:sz w:val="19"/>
              </w:rPr>
            </w:pPr>
          </w:p>
        </w:tc>
        <w:tc>
          <w:tcPr>
            <w:tcW w:w="1052" w:type="dxa"/>
            <w:vAlign w:val="center"/>
          </w:tcPr>
          <w:p>
            <w:pPr>
              <w:autoSpaceDN w:val="0"/>
              <w:rPr>
                <w:rFonts w:ascii="宋体" w:hAnsi="宋体"/>
                <w:color w:val="000000"/>
                <w:sz w:val="19"/>
              </w:rPr>
            </w:pPr>
          </w:p>
        </w:tc>
        <w:tc>
          <w:tcPr>
            <w:tcW w:w="1295" w:type="dxa"/>
            <w:vAlign w:val="center"/>
          </w:tcPr>
          <w:p>
            <w:pPr>
              <w:autoSpaceDN w:val="0"/>
              <w:rPr>
                <w:rFonts w:ascii="宋体" w:hAnsi="宋体"/>
                <w:color w:val="000000"/>
                <w:sz w:val="19"/>
              </w:rPr>
            </w:pPr>
          </w:p>
        </w:tc>
        <w:tc>
          <w:tcPr>
            <w:tcW w:w="2052" w:type="dxa"/>
            <w:vAlign w:val="center"/>
          </w:tcPr>
          <w:p>
            <w:pPr>
              <w:autoSpaceDN w:val="0"/>
              <w:rPr>
                <w:rFonts w:ascii="宋体" w:hAnsi="宋体"/>
                <w:color w:val="000000"/>
                <w:sz w:val="19"/>
              </w:rPr>
            </w:pPr>
          </w:p>
        </w:tc>
      </w:tr>
    </w:tbl>
    <w:p>
      <w:pPr>
        <w:spacing w:line="360" w:lineRule="auto"/>
        <w:outlineLvl w:val="1"/>
        <w:rPr>
          <w:rFonts w:hint="eastAsia" w:asciiTheme="minorEastAsia" w:hAnsiTheme="minorEastAsia"/>
          <w:sz w:val="24"/>
          <w:szCs w:val="24"/>
        </w:rPr>
      </w:pPr>
      <w:bookmarkStart w:id="59" w:name="_Toc403829203"/>
    </w:p>
    <w:p>
      <w:pPr>
        <w:spacing w:line="360" w:lineRule="auto"/>
        <w:outlineLvl w:val="1"/>
        <w:rPr>
          <w:rFonts w:asciiTheme="minorEastAsia" w:hAnsiTheme="minorEastAsia"/>
          <w:sz w:val="24"/>
          <w:szCs w:val="24"/>
        </w:rPr>
      </w:pPr>
      <w:bookmarkStart w:id="60" w:name="_Toc31716"/>
      <w:r>
        <w:rPr>
          <w:rFonts w:hint="eastAsia" w:asciiTheme="minorEastAsia" w:hAnsiTheme="minorEastAsia"/>
          <w:sz w:val="24"/>
          <w:szCs w:val="24"/>
        </w:rPr>
        <w:t>附件5-1：《印章使用申请表》</w:t>
      </w:r>
      <w:bookmarkEnd w:id="59"/>
      <w:bookmarkEnd w:id="60"/>
    </w:p>
    <w:p>
      <w:pPr>
        <w:spacing w:line="360" w:lineRule="auto"/>
        <w:jc w:val="center"/>
        <w:rPr>
          <w:rFonts w:hint="eastAsia" w:ascii="微软雅黑" w:hAnsi="微软雅黑" w:eastAsia="微软雅黑"/>
          <w:b/>
          <w:bCs/>
          <w:sz w:val="28"/>
          <w:szCs w:val="28"/>
        </w:rPr>
      </w:pPr>
    </w:p>
    <w:p>
      <w:pPr>
        <w:spacing w:line="360" w:lineRule="auto"/>
        <w:jc w:val="center"/>
        <w:rPr>
          <w:rFonts w:ascii="微软雅黑" w:hAnsi="微软雅黑" w:eastAsia="微软雅黑"/>
          <w:b/>
          <w:bCs/>
          <w:sz w:val="28"/>
          <w:szCs w:val="28"/>
        </w:rPr>
      </w:pPr>
      <w:r>
        <w:rPr>
          <w:rFonts w:hint="eastAsia" w:ascii="微软雅黑" w:hAnsi="微软雅黑" w:eastAsia="微软雅黑"/>
          <w:b/>
          <w:bCs/>
          <w:sz w:val="28"/>
          <w:szCs w:val="28"/>
          <w:lang w:eastAsia="zh-CN"/>
        </w:rPr>
        <w:t>北京天地文化发展</w:t>
      </w:r>
      <w:r>
        <w:rPr>
          <w:rFonts w:hint="eastAsia" w:ascii="微软雅黑" w:hAnsi="微软雅黑" w:eastAsia="微软雅黑"/>
          <w:b/>
          <w:bCs/>
          <w:sz w:val="28"/>
          <w:szCs w:val="28"/>
        </w:rPr>
        <w:t>基金会印章使用申请表</w:t>
      </w:r>
    </w:p>
    <w:tbl>
      <w:tblPr>
        <w:tblStyle w:val="9"/>
        <w:tblW w:w="8069"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55"/>
        <w:gridCol w:w="2789"/>
        <w:gridCol w:w="20"/>
        <w:gridCol w:w="1330"/>
        <w:gridCol w:w="187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54" w:hRule="atLeast"/>
          <w:jc w:val="center"/>
        </w:trPr>
        <w:tc>
          <w:tcPr>
            <w:tcW w:w="2055"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N w:val="0"/>
              <w:rPr>
                <w:rFonts w:hAnsi="宋体"/>
                <w:sz w:val="24"/>
              </w:rPr>
            </w:pPr>
            <w:r>
              <w:rPr>
                <w:rFonts w:ascii="宋体" w:hAnsi="宋体"/>
                <w:sz w:val="24"/>
              </w:rPr>
              <w:t>申请使用</w:t>
            </w:r>
            <w:r>
              <w:rPr>
                <w:rFonts w:hint="eastAsia" w:ascii="宋体" w:hAnsi="宋体"/>
                <w:sz w:val="24"/>
              </w:rPr>
              <w:t>人</w:t>
            </w:r>
          </w:p>
        </w:tc>
        <w:tc>
          <w:tcPr>
            <w:tcW w:w="6014" w:type="dxa"/>
            <w:gridSpan w:val="4"/>
            <w:tcBorders>
              <w:left w:val="outset" w:color="auto" w:sz="6" w:space="0"/>
            </w:tcBorders>
            <w:tcMar>
              <w:top w:w="0" w:type="dxa"/>
              <w:left w:w="108" w:type="dxa"/>
              <w:bottom w:w="0" w:type="dxa"/>
              <w:right w:w="108" w:type="dxa"/>
            </w:tcMar>
            <w:vAlign w:val="center"/>
          </w:tcPr>
          <w:p>
            <w:pPr>
              <w:autoSpaceDN w:val="0"/>
              <w:jc w:val="center"/>
              <w:rPr>
                <w:rFonts w:hAnsi="宋体"/>
                <w:sz w:val="24"/>
              </w:rPr>
            </w:pPr>
            <w:r>
              <w:rPr>
                <w:rFonts w:ascii="宋体" w:hAnsi="宋体"/>
                <w:sz w:val="24"/>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50" w:hRule="atLeast"/>
          <w:jc w:val="center"/>
        </w:trPr>
        <w:tc>
          <w:tcPr>
            <w:tcW w:w="2055" w:type="dxa"/>
            <w:tcBorders>
              <w:top w:val="outset" w:color="auto" w:sz="6" w:space="0"/>
            </w:tcBorders>
            <w:tcMar>
              <w:top w:w="0" w:type="dxa"/>
              <w:left w:w="108" w:type="dxa"/>
              <w:bottom w:w="0" w:type="dxa"/>
              <w:right w:w="108" w:type="dxa"/>
            </w:tcMar>
            <w:vAlign w:val="center"/>
          </w:tcPr>
          <w:p>
            <w:pPr>
              <w:autoSpaceDN w:val="0"/>
              <w:rPr>
                <w:rFonts w:hAnsi="宋体"/>
                <w:sz w:val="24"/>
              </w:rPr>
            </w:pPr>
            <w:r>
              <w:rPr>
                <w:rFonts w:ascii="宋体" w:hAnsi="宋体"/>
                <w:sz w:val="24"/>
              </w:rPr>
              <w:t>经办人</w:t>
            </w:r>
          </w:p>
        </w:tc>
        <w:tc>
          <w:tcPr>
            <w:tcW w:w="2789" w:type="dxa"/>
            <w:tcBorders>
              <w:top w:val="outset" w:color="auto" w:sz="6" w:space="0"/>
              <w:left w:val="outset" w:color="auto" w:sz="6" w:space="0"/>
            </w:tcBorders>
            <w:tcMar>
              <w:top w:w="0" w:type="dxa"/>
              <w:left w:w="108" w:type="dxa"/>
              <w:bottom w:w="0" w:type="dxa"/>
              <w:right w:w="108" w:type="dxa"/>
            </w:tcMar>
            <w:vAlign w:val="center"/>
          </w:tcPr>
          <w:p>
            <w:pPr>
              <w:autoSpaceDN w:val="0"/>
              <w:jc w:val="center"/>
              <w:rPr>
                <w:rFonts w:hAnsi="宋体"/>
                <w:sz w:val="24"/>
              </w:rPr>
            </w:pPr>
            <w:r>
              <w:rPr>
                <w:rFonts w:ascii="宋体" w:hAnsi="宋体"/>
                <w:sz w:val="24"/>
              </w:rPr>
              <w:t xml:space="preserve"> </w:t>
            </w:r>
          </w:p>
        </w:tc>
        <w:tc>
          <w:tcPr>
            <w:tcW w:w="1350" w:type="dxa"/>
            <w:gridSpan w:val="2"/>
            <w:tcBorders>
              <w:top w:val="outset" w:color="auto" w:sz="6" w:space="0"/>
              <w:left w:val="outset" w:color="auto" w:sz="6" w:space="0"/>
            </w:tcBorders>
            <w:tcMar>
              <w:top w:w="0" w:type="dxa"/>
              <w:left w:w="108" w:type="dxa"/>
              <w:bottom w:w="0" w:type="dxa"/>
              <w:right w:w="108" w:type="dxa"/>
            </w:tcMar>
            <w:vAlign w:val="center"/>
          </w:tcPr>
          <w:p>
            <w:pPr>
              <w:autoSpaceDN w:val="0"/>
              <w:jc w:val="center"/>
              <w:rPr>
                <w:rFonts w:hAnsi="宋体"/>
                <w:sz w:val="24"/>
              </w:rPr>
            </w:pPr>
            <w:r>
              <w:rPr>
                <w:rFonts w:ascii="宋体" w:hAnsi="宋体"/>
                <w:sz w:val="24"/>
              </w:rPr>
              <w:t>联系电话</w:t>
            </w:r>
          </w:p>
        </w:tc>
        <w:tc>
          <w:tcPr>
            <w:tcW w:w="1875" w:type="dxa"/>
            <w:tcBorders>
              <w:top w:val="outset" w:color="auto" w:sz="6" w:space="0"/>
              <w:left w:val="outset" w:color="auto" w:sz="6" w:space="0"/>
            </w:tcBorders>
            <w:tcMar>
              <w:top w:w="0" w:type="dxa"/>
              <w:left w:w="108" w:type="dxa"/>
              <w:bottom w:w="0" w:type="dxa"/>
              <w:right w:w="108" w:type="dxa"/>
            </w:tcMar>
            <w:vAlign w:val="center"/>
          </w:tcPr>
          <w:p>
            <w:pPr>
              <w:autoSpaceDN w:val="0"/>
              <w:jc w:val="center"/>
              <w:rPr>
                <w:rFonts w:hAnsi="宋体"/>
                <w:sz w:val="24"/>
              </w:rPr>
            </w:pPr>
            <w:r>
              <w:rPr>
                <w:rFonts w:ascii="宋体" w:hAnsi="宋体"/>
                <w:sz w:val="24"/>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50" w:hRule="atLeast"/>
          <w:jc w:val="center"/>
        </w:trPr>
        <w:tc>
          <w:tcPr>
            <w:tcW w:w="2055" w:type="dxa"/>
            <w:tcBorders>
              <w:top w:val="outset" w:color="auto" w:sz="6" w:space="0"/>
            </w:tcBorders>
            <w:tcMar>
              <w:top w:w="0" w:type="dxa"/>
              <w:left w:w="108" w:type="dxa"/>
              <w:bottom w:w="0" w:type="dxa"/>
              <w:right w:w="108" w:type="dxa"/>
            </w:tcMar>
            <w:vAlign w:val="center"/>
          </w:tcPr>
          <w:p>
            <w:pPr>
              <w:autoSpaceDN w:val="0"/>
              <w:rPr>
                <w:rFonts w:hAnsi="宋体"/>
                <w:sz w:val="24"/>
              </w:rPr>
            </w:pPr>
            <w:r>
              <w:rPr>
                <w:rFonts w:ascii="宋体" w:hAnsi="宋体"/>
                <w:sz w:val="24"/>
              </w:rPr>
              <w:t>使用证件类型</w:t>
            </w:r>
          </w:p>
        </w:tc>
        <w:tc>
          <w:tcPr>
            <w:tcW w:w="2789" w:type="dxa"/>
            <w:tcBorders>
              <w:top w:val="outset" w:color="auto" w:sz="6" w:space="0"/>
              <w:left w:val="outset" w:color="auto" w:sz="6" w:space="0"/>
            </w:tcBorders>
            <w:tcMar>
              <w:top w:w="0" w:type="dxa"/>
              <w:left w:w="108" w:type="dxa"/>
              <w:bottom w:w="0" w:type="dxa"/>
              <w:right w:w="108" w:type="dxa"/>
            </w:tcMar>
            <w:vAlign w:val="center"/>
          </w:tcPr>
          <w:p>
            <w:pPr>
              <w:autoSpaceDN w:val="0"/>
              <w:jc w:val="left"/>
              <w:rPr>
                <w:rFonts w:ascii="宋体" w:hAnsi="宋体"/>
                <w:sz w:val="24"/>
              </w:rPr>
            </w:pPr>
            <w:r>
              <w:rPr>
                <w:rFonts w:hint="eastAsia" w:ascii="宋体" w:hAnsi="宋体"/>
                <w:sz w:val="24"/>
              </w:rPr>
              <w:t>□公章</w:t>
            </w:r>
          </w:p>
          <w:p>
            <w:pPr>
              <w:autoSpaceDN w:val="0"/>
              <w:jc w:val="left"/>
              <w:rPr>
                <w:rFonts w:ascii="宋体" w:hAnsi="宋体"/>
                <w:sz w:val="24"/>
              </w:rPr>
            </w:pPr>
            <w:r>
              <w:rPr>
                <w:rFonts w:hint="eastAsia" w:ascii="宋体" w:hAnsi="宋体"/>
                <w:sz w:val="24"/>
              </w:rPr>
              <w:t>□财务专用章</w:t>
            </w:r>
          </w:p>
          <w:p>
            <w:pPr>
              <w:autoSpaceDN w:val="0"/>
              <w:jc w:val="left"/>
              <w:rPr>
                <w:rFonts w:ascii="宋体" w:hAnsi="宋体"/>
                <w:sz w:val="24"/>
              </w:rPr>
            </w:pPr>
            <w:r>
              <w:rPr>
                <w:rFonts w:hint="eastAsia" w:ascii="宋体" w:hAnsi="宋体"/>
                <w:sz w:val="24"/>
              </w:rPr>
              <w:t>□发票专用章</w:t>
            </w:r>
          </w:p>
          <w:p>
            <w:pPr>
              <w:autoSpaceDN w:val="0"/>
              <w:jc w:val="left"/>
              <w:rPr>
                <w:rFonts w:ascii="宋体" w:hAnsi="宋体"/>
                <w:sz w:val="24"/>
              </w:rPr>
            </w:pPr>
            <w:r>
              <w:rPr>
                <w:rFonts w:hint="eastAsia" w:ascii="宋体" w:hAnsi="宋体"/>
                <w:sz w:val="24"/>
              </w:rPr>
              <w:t>□税务代码章</w:t>
            </w:r>
          </w:p>
          <w:p>
            <w:pPr>
              <w:autoSpaceDN w:val="0"/>
              <w:jc w:val="left"/>
              <w:rPr>
                <w:rFonts w:ascii="宋体" w:hAnsi="宋体"/>
                <w:sz w:val="24"/>
              </w:rPr>
            </w:pPr>
            <w:r>
              <w:rPr>
                <w:rFonts w:hint="eastAsia" w:ascii="宋体" w:hAnsi="宋体"/>
                <w:sz w:val="24"/>
              </w:rPr>
              <w:t>□法人名章</w:t>
            </w:r>
          </w:p>
        </w:tc>
        <w:tc>
          <w:tcPr>
            <w:tcW w:w="3225" w:type="dxa"/>
            <w:gridSpan w:val="3"/>
            <w:tcBorders>
              <w:top w:val="outset" w:color="auto" w:sz="6" w:space="0"/>
              <w:left w:val="outset" w:color="auto" w:sz="6" w:space="0"/>
            </w:tcBorders>
            <w:tcMar>
              <w:top w:w="0" w:type="dxa"/>
              <w:left w:w="108" w:type="dxa"/>
              <w:bottom w:w="0" w:type="dxa"/>
              <w:right w:w="108" w:type="dxa"/>
            </w:tcMar>
            <w:vAlign w:val="center"/>
          </w:tcPr>
          <w:p>
            <w:pPr>
              <w:autoSpaceDN w:val="0"/>
              <w:jc w:val="left"/>
              <w:rPr>
                <w:rFonts w:hAnsi="宋体"/>
                <w:sz w:val="24"/>
              </w:rPr>
            </w:pPr>
            <w:r>
              <w:rPr>
                <w:rFonts w:hint="eastAsia" w:hAnsi="宋体"/>
                <w:sz w:val="24"/>
              </w:rPr>
              <w:t>印记：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27" w:hRule="atLeast"/>
          <w:jc w:val="center"/>
        </w:trPr>
        <w:tc>
          <w:tcPr>
            <w:tcW w:w="8069" w:type="dxa"/>
            <w:gridSpan w:val="5"/>
            <w:tcBorders>
              <w:top w:val="outset" w:color="auto" w:sz="6" w:space="0"/>
            </w:tcBorders>
            <w:tcMar>
              <w:top w:w="0" w:type="dxa"/>
              <w:left w:w="108" w:type="dxa"/>
              <w:bottom w:w="0" w:type="dxa"/>
              <w:right w:w="108" w:type="dxa"/>
            </w:tcMar>
          </w:tcPr>
          <w:p>
            <w:pPr>
              <w:autoSpaceDN w:val="0"/>
              <w:jc w:val="left"/>
              <w:rPr>
                <w:rFonts w:hAnsi="宋体"/>
                <w:sz w:val="24"/>
              </w:rPr>
            </w:pPr>
            <w:r>
              <w:rPr>
                <w:rFonts w:ascii="宋体" w:hAnsi="宋体"/>
                <w:sz w:val="24"/>
              </w:rPr>
              <w:t xml:space="preserve"> </w:t>
            </w:r>
          </w:p>
          <w:p>
            <w:pPr>
              <w:autoSpaceDN w:val="0"/>
              <w:jc w:val="left"/>
              <w:rPr>
                <w:rFonts w:hAnsi="宋体"/>
                <w:sz w:val="24"/>
              </w:rPr>
            </w:pPr>
            <w:r>
              <w:rPr>
                <w:rFonts w:ascii="宋体" w:hAnsi="宋体"/>
                <w:sz w:val="24"/>
              </w:rPr>
              <w:t>申请使用理由</w:t>
            </w:r>
          </w:p>
          <w:p>
            <w:pPr>
              <w:autoSpaceDN w:val="0"/>
              <w:jc w:val="left"/>
              <w:rPr>
                <w:rFonts w:hAnsi="宋体"/>
                <w:sz w:val="24"/>
              </w:rPr>
            </w:pPr>
            <w:r>
              <w:rPr>
                <w:rFonts w:ascii="宋体" w:hAnsi="宋体"/>
                <w:sz w:val="24"/>
              </w:rPr>
              <w:t xml:space="preserve"> </w:t>
            </w:r>
          </w:p>
          <w:p>
            <w:pPr>
              <w:autoSpaceDN w:val="0"/>
              <w:jc w:val="left"/>
              <w:rPr>
                <w:rFonts w:hAnsi="宋体"/>
                <w:sz w:val="24"/>
              </w:rPr>
            </w:pPr>
            <w:r>
              <w:rPr>
                <w:rFonts w:ascii="宋体" w:hAnsi="宋体"/>
                <w:sz w:val="24"/>
              </w:rPr>
              <w:t xml:space="preserve">  </w:t>
            </w:r>
          </w:p>
          <w:p>
            <w:pPr>
              <w:autoSpaceDN w:val="0"/>
              <w:jc w:val="left"/>
              <w:rPr>
                <w:rFonts w:hAnsi="宋体"/>
                <w:sz w:val="24"/>
              </w:rPr>
            </w:pPr>
            <w:r>
              <w:rPr>
                <w:rFonts w:ascii="宋体" w:hAnsi="宋体"/>
                <w:sz w:val="24"/>
              </w:rPr>
              <w:t xml:space="preserve"> </w:t>
            </w:r>
          </w:p>
          <w:p>
            <w:pPr>
              <w:autoSpaceDN w:val="0"/>
              <w:jc w:val="left"/>
              <w:rPr>
                <w:rFonts w:hAnsi="宋体"/>
                <w:sz w:val="24"/>
              </w:rPr>
            </w:pPr>
            <w:r>
              <w:rPr>
                <w:rFonts w:ascii="宋体" w:hAnsi="宋体"/>
                <w:sz w:val="24"/>
              </w:rPr>
              <w:t xml:space="preserve"> </w:t>
            </w:r>
          </w:p>
          <w:p>
            <w:pPr>
              <w:autoSpaceDN w:val="0"/>
              <w:jc w:val="left"/>
              <w:rPr>
                <w:rFonts w:hAnsi="宋体"/>
                <w:sz w:val="24"/>
              </w:rPr>
            </w:pPr>
            <w:r>
              <w:rPr>
                <w:rFonts w:ascii="宋体" w:hAnsi="宋体"/>
                <w:sz w:val="24"/>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480" w:hRule="atLeast"/>
          <w:jc w:val="center"/>
        </w:trPr>
        <w:tc>
          <w:tcPr>
            <w:tcW w:w="8069" w:type="dxa"/>
            <w:gridSpan w:val="5"/>
            <w:tcBorders>
              <w:top w:val="outset" w:color="auto" w:sz="6" w:space="0"/>
            </w:tcBorders>
            <w:tcMar>
              <w:top w:w="0" w:type="dxa"/>
              <w:left w:w="108" w:type="dxa"/>
              <w:bottom w:w="0" w:type="dxa"/>
              <w:right w:w="108" w:type="dxa"/>
            </w:tcMar>
          </w:tcPr>
          <w:p>
            <w:pPr>
              <w:autoSpaceDN w:val="0"/>
              <w:jc w:val="left"/>
              <w:rPr>
                <w:rFonts w:hAnsi="宋体"/>
                <w:sz w:val="24"/>
              </w:rPr>
            </w:pPr>
            <w:r>
              <w:rPr>
                <w:rFonts w:ascii="宋体" w:hAnsi="宋体"/>
                <w:sz w:val="24"/>
              </w:rPr>
              <w:t xml:space="preserve"> </w:t>
            </w:r>
          </w:p>
          <w:p>
            <w:pPr>
              <w:autoSpaceDN w:val="0"/>
              <w:jc w:val="left"/>
              <w:rPr>
                <w:rFonts w:hAnsi="宋体"/>
                <w:sz w:val="24"/>
              </w:rPr>
            </w:pPr>
            <w:r>
              <w:rPr>
                <w:rFonts w:ascii="宋体" w:hAnsi="宋体"/>
                <w:sz w:val="24"/>
              </w:rPr>
              <w:t>申请部门负责人签字：</w:t>
            </w:r>
          </w:p>
          <w:p>
            <w:pPr>
              <w:autoSpaceDN w:val="0"/>
              <w:jc w:val="left"/>
              <w:rPr>
                <w:rFonts w:hAnsi="宋体"/>
                <w:sz w:val="24"/>
              </w:rPr>
            </w:pPr>
            <w:r>
              <w:rPr>
                <w:rFonts w:ascii="宋体" w:hAnsi="宋体"/>
                <w:sz w:val="24"/>
              </w:rPr>
              <w:t xml:space="preserve">                      </w:t>
            </w:r>
          </w:p>
          <w:p>
            <w:pPr>
              <w:autoSpaceDN w:val="0"/>
              <w:jc w:val="left"/>
              <w:rPr>
                <w:rFonts w:hAnsi="宋体"/>
                <w:sz w:val="24"/>
              </w:rPr>
            </w:pPr>
            <w:r>
              <w:rPr>
                <w:rFonts w:ascii="宋体" w:hAnsi="宋体"/>
                <w:sz w:val="24"/>
              </w:rPr>
              <w:t xml:space="preserve">                                      </w:t>
            </w:r>
          </w:p>
          <w:p>
            <w:pPr>
              <w:autoSpaceDN w:val="0"/>
              <w:jc w:val="left"/>
              <w:rPr>
                <w:rFonts w:hAnsi="宋体"/>
                <w:sz w:val="24"/>
              </w:rPr>
            </w:pPr>
            <w:r>
              <w:rPr>
                <w:rFonts w:ascii="宋体" w:hAnsi="宋体"/>
                <w:sz w:val="24"/>
              </w:rPr>
              <w:t xml:space="preserve"> </w:t>
            </w:r>
          </w:p>
          <w:p>
            <w:pPr>
              <w:autoSpaceDN w:val="0"/>
              <w:jc w:val="left"/>
              <w:rPr>
                <w:rFonts w:hAnsi="宋体"/>
                <w:sz w:val="24"/>
              </w:rPr>
            </w:pPr>
            <w:r>
              <w:rPr>
                <w:rFonts w:ascii="宋体" w:hAnsi="宋体"/>
                <w:sz w:val="24"/>
              </w:rPr>
              <w:t xml:space="preserve"> </w:t>
            </w:r>
          </w:p>
          <w:p>
            <w:pPr>
              <w:autoSpaceDN w:val="0"/>
              <w:jc w:val="left"/>
              <w:rPr>
                <w:rFonts w:hint="eastAsia" w:hAnsi="宋体" w:eastAsiaTheme="minorEastAsia"/>
                <w:sz w:val="24"/>
                <w:lang w:eastAsia="zh-CN"/>
              </w:rPr>
            </w:pPr>
            <w:r>
              <w:rPr>
                <w:rFonts w:ascii="宋体" w:hAnsi="宋体"/>
                <w:sz w:val="24"/>
              </w:rPr>
              <w:t xml:space="preserve"> </w:t>
            </w:r>
          </w:p>
          <w:p>
            <w:pPr>
              <w:autoSpaceDN w:val="0"/>
              <w:ind w:right="240"/>
              <w:jc w:val="right"/>
              <w:rPr>
                <w:rFonts w:hAnsi="宋体"/>
                <w:sz w:val="24"/>
              </w:rPr>
            </w:pPr>
            <w:r>
              <w:rPr>
                <w:rFonts w:ascii="宋体" w:hAnsi="宋体"/>
                <w:sz w:val="24"/>
              </w:rPr>
              <w:t xml:space="preserve"> 申请日期：    年   月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480" w:hRule="atLeast"/>
          <w:jc w:val="center"/>
        </w:trPr>
        <w:tc>
          <w:tcPr>
            <w:tcW w:w="8069" w:type="dxa"/>
            <w:gridSpan w:val="5"/>
            <w:tcBorders>
              <w:top w:val="outset" w:color="auto" w:sz="6" w:space="0"/>
            </w:tcBorders>
            <w:tcMar>
              <w:top w:w="0" w:type="dxa"/>
              <w:left w:w="108" w:type="dxa"/>
              <w:bottom w:w="0" w:type="dxa"/>
              <w:right w:w="108" w:type="dxa"/>
            </w:tcMar>
          </w:tcPr>
          <w:p>
            <w:pPr>
              <w:autoSpaceDN w:val="0"/>
              <w:ind w:firstLine="480" w:firstLineChars="200"/>
              <w:jc w:val="left"/>
              <w:rPr>
                <w:rFonts w:hAnsi="宋体"/>
                <w:sz w:val="24"/>
              </w:rPr>
            </w:pPr>
            <w:r>
              <w:rPr>
                <w:rFonts w:ascii="宋体" w:hAnsi="宋体"/>
                <w:sz w:val="24"/>
              </w:rPr>
              <w:t xml:space="preserve"> </w:t>
            </w:r>
          </w:p>
          <w:p>
            <w:pPr>
              <w:autoSpaceDN w:val="0"/>
              <w:jc w:val="left"/>
              <w:rPr>
                <w:rFonts w:hAnsi="宋体"/>
                <w:sz w:val="24"/>
              </w:rPr>
            </w:pPr>
            <w:r>
              <w:rPr>
                <w:rFonts w:ascii="宋体" w:hAnsi="宋体"/>
                <w:sz w:val="24"/>
              </w:rPr>
              <w:t>基金会秘书处审批意见</w:t>
            </w:r>
          </w:p>
          <w:p>
            <w:pPr>
              <w:autoSpaceDN w:val="0"/>
              <w:ind w:firstLine="480" w:firstLineChars="200"/>
              <w:jc w:val="left"/>
              <w:rPr>
                <w:rFonts w:hAnsi="宋体"/>
                <w:sz w:val="24"/>
              </w:rPr>
            </w:pPr>
            <w:r>
              <w:rPr>
                <w:rFonts w:ascii="宋体" w:hAnsi="宋体"/>
                <w:sz w:val="24"/>
              </w:rPr>
              <w:t xml:space="preserve">  </w:t>
            </w:r>
          </w:p>
          <w:p>
            <w:pPr>
              <w:autoSpaceDN w:val="0"/>
              <w:ind w:firstLine="480" w:firstLineChars="200"/>
              <w:jc w:val="left"/>
              <w:rPr>
                <w:rFonts w:hAnsi="宋体"/>
                <w:sz w:val="24"/>
              </w:rPr>
            </w:pPr>
            <w:r>
              <w:rPr>
                <w:rFonts w:ascii="宋体" w:hAnsi="宋体"/>
                <w:sz w:val="24"/>
              </w:rPr>
              <w:t xml:space="preserve"> </w:t>
            </w:r>
          </w:p>
          <w:p>
            <w:pPr>
              <w:autoSpaceDN w:val="0"/>
              <w:ind w:firstLine="480" w:firstLineChars="200"/>
              <w:jc w:val="left"/>
              <w:rPr>
                <w:rFonts w:hAnsi="宋体"/>
                <w:sz w:val="24"/>
              </w:rPr>
            </w:pPr>
            <w:r>
              <w:rPr>
                <w:rFonts w:ascii="宋体" w:hAnsi="宋体"/>
                <w:sz w:val="24"/>
              </w:rPr>
              <w:t xml:space="preserve"> </w:t>
            </w:r>
          </w:p>
          <w:p>
            <w:pPr>
              <w:autoSpaceDN w:val="0"/>
              <w:ind w:firstLine="480" w:firstLineChars="200"/>
              <w:jc w:val="left"/>
              <w:rPr>
                <w:rFonts w:hAnsi="宋体"/>
                <w:sz w:val="24"/>
              </w:rPr>
            </w:pPr>
            <w:r>
              <w:rPr>
                <w:rFonts w:ascii="宋体" w:hAnsi="宋体"/>
                <w:sz w:val="24"/>
              </w:rPr>
              <w:t xml:space="preserve"> </w:t>
            </w:r>
          </w:p>
          <w:p>
            <w:pPr>
              <w:autoSpaceDN w:val="0"/>
              <w:ind w:firstLine="480" w:firstLineChars="200"/>
              <w:jc w:val="left"/>
              <w:rPr>
                <w:rFonts w:hAnsi="宋体"/>
                <w:sz w:val="24"/>
              </w:rPr>
            </w:pPr>
            <w:r>
              <w:rPr>
                <w:rFonts w:ascii="宋体" w:hAnsi="宋体"/>
                <w:sz w:val="24"/>
              </w:rPr>
              <w:t xml:space="preserve"> </w:t>
            </w:r>
          </w:p>
          <w:p>
            <w:pPr>
              <w:autoSpaceDN w:val="0"/>
              <w:ind w:firstLine="480" w:firstLineChars="200"/>
              <w:jc w:val="left"/>
              <w:rPr>
                <w:rFonts w:hAnsi="宋体"/>
                <w:sz w:val="24"/>
              </w:rPr>
            </w:pPr>
            <w:r>
              <w:rPr>
                <w:rFonts w:ascii="宋体" w:hAnsi="宋体"/>
                <w:sz w:val="24"/>
              </w:rPr>
              <w:t xml:space="preserve"> </w:t>
            </w:r>
          </w:p>
          <w:p>
            <w:pPr>
              <w:autoSpaceDN w:val="0"/>
              <w:jc w:val="left"/>
              <w:rPr>
                <w:rFonts w:hAnsi="宋体"/>
                <w:sz w:val="24"/>
              </w:rPr>
            </w:pPr>
            <w:r>
              <w:rPr>
                <w:rFonts w:ascii="宋体" w:hAnsi="宋体"/>
                <w:sz w:val="24"/>
              </w:rPr>
              <w:t xml:space="preserve">批准人：                             </w:t>
            </w:r>
            <w:r>
              <w:rPr>
                <w:rFonts w:hint="eastAsia" w:ascii="宋体" w:hAnsi="宋体"/>
                <w:sz w:val="24"/>
              </w:rPr>
              <w:t>批准</w:t>
            </w:r>
            <w:r>
              <w:rPr>
                <w:rFonts w:ascii="宋体" w:hAnsi="宋体"/>
                <w:sz w:val="24"/>
              </w:rPr>
              <w:t>日期：    年   月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2055" w:type="dxa"/>
            <w:vAlign w:val="center"/>
          </w:tcPr>
          <w:p>
            <w:pPr>
              <w:autoSpaceDN w:val="0"/>
              <w:ind w:firstLine="480" w:firstLineChars="200"/>
              <w:rPr>
                <w:rFonts w:ascii="宋体" w:hAnsi="宋体"/>
                <w:sz w:val="24"/>
              </w:rPr>
            </w:pPr>
          </w:p>
        </w:tc>
        <w:tc>
          <w:tcPr>
            <w:tcW w:w="2789" w:type="dxa"/>
            <w:vAlign w:val="center"/>
          </w:tcPr>
          <w:p>
            <w:pPr>
              <w:autoSpaceDN w:val="0"/>
              <w:ind w:firstLine="480" w:firstLineChars="200"/>
              <w:rPr>
                <w:rFonts w:ascii="宋体" w:hAnsi="宋体"/>
                <w:sz w:val="24"/>
              </w:rPr>
            </w:pPr>
          </w:p>
        </w:tc>
        <w:tc>
          <w:tcPr>
            <w:tcW w:w="20" w:type="dxa"/>
            <w:vAlign w:val="center"/>
          </w:tcPr>
          <w:p>
            <w:pPr>
              <w:autoSpaceDN w:val="0"/>
              <w:ind w:firstLine="480" w:firstLineChars="200"/>
              <w:rPr>
                <w:rFonts w:ascii="宋体" w:hAnsi="宋体"/>
                <w:sz w:val="24"/>
              </w:rPr>
            </w:pPr>
          </w:p>
        </w:tc>
        <w:tc>
          <w:tcPr>
            <w:tcW w:w="1330" w:type="dxa"/>
            <w:vAlign w:val="center"/>
          </w:tcPr>
          <w:p>
            <w:pPr>
              <w:autoSpaceDN w:val="0"/>
              <w:ind w:firstLine="480" w:firstLineChars="200"/>
              <w:rPr>
                <w:rFonts w:ascii="宋体" w:hAnsi="宋体"/>
                <w:sz w:val="24"/>
              </w:rPr>
            </w:pPr>
          </w:p>
        </w:tc>
        <w:tc>
          <w:tcPr>
            <w:tcW w:w="1875" w:type="dxa"/>
            <w:vAlign w:val="center"/>
          </w:tcPr>
          <w:p>
            <w:pPr>
              <w:autoSpaceDN w:val="0"/>
              <w:ind w:firstLine="480" w:firstLineChars="200"/>
              <w:rPr>
                <w:rFonts w:ascii="宋体" w:hAnsi="宋体"/>
                <w:sz w:val="24"/>
              </w:rPr>
            </w:pPr>
          </w:p>
        </w:tc>
      </w:tr>
    </w:tbl>
    <w:p>
      <w:pPr>
        <w:spacing w:line="360" w:lineRule="auto"/>
        <w:outlineLvl w:val="1"/>
        <w:rPr>
          <w:rFonts w:hint="eastAsia" w:asciiTheme="minorEastAsia" w:hAnsiTheme="minorEastAsia"/>
          <w:sz w:val="24"/>
          <w:szCs w:val="24"/>
        </w:rPr>
      </w:pPr>
      <w:bookmarkStart w:id="61" w:name="_Toc403829204"/>
    </w:p>
    <w:p>
      <w:pPr>
        <w:spacing w:line="360" w:lineRule="auto"/>
        <w:outlineLvl w:val="1"/>
        <w:rPr>
          <w:rFonts w:hint="eastAsia" w:asciiTheme="minorEastAsia" w:hAnsiTheme="minorEastAsia"/>
          <w:sz w:val="24"/>
          <w:szCs w:val="24"/>
        </w:rPr>
      </w:pPr>
    </w:p>
    <w:p>
      <w:pPr>
        <w:spacing w:line="360" w:lineRule="auto"/>
        <w:outlineLvl w:val="1"/>
        <w:rPr>
          <w:rFonts w:asciiTheme="minorEastAsia" w:hAnsiTheme="minorEastAsia"/>
          <w:sz w:val="24"/>
          <w:szCs w:val="24"/>
        </w:rPr>
      </w:pPr>
      <w:bookmarkStart w:id="62" w:name="_Toc10855"/>
      <w:r>
        <w:rPr>
          <w:rFonts w:hint="eastAsia" w:asciiTheme="minorEastAsia" w:hAnsiTheme="minorEastAsia"/>
          <w:sz w:val="24"/>
          <w:szCs w:val="24"/>
        </w:rPr>
        <w:t>附件5-2：《印章使用登记表》</w:t>
      </w:r>
      <w:bookmarkEnd w:id="61"/>
      <w:bookmarkEnd w:id="62"/>
    </w:p>
    <w:p>
      <w:pPr>
        <w:ind w:firstLine="560" w:firstLineChars="200"/>
        <w:jc w:val="center"/>
        <w:rPr>
          <w:rFonts w:hint="eastAsia" w:ascii="微软雅黑" w:hAnsi="微软雅黑" w:eastAsia="微软雅黑" w:cs="Arial"/>
          <w:b/>
          <w:bCs/>
          <w:kern w:val="0"/>
          <w:sz w:val="28"/>
          <w:szCs w:val="28"/>
        </w:rPr>
      </w:pPr>
    </w:p>
    <w:p>
      <w:pPr>
        <w:ind w:firstLine="560" w:firstLineChars="200"/>
        <w:jc w:val="center"/>
        <w:rPr>
          <w:rFonts w:ascii="微软雅黑" w:hAnsi="微软雅黑" w:eastAsia="微软雅黑" w:cs="Arial"/>
          <w:b/>
          <w:bCs/>
          <w:kern w:val="0"/>
          <w:sz w:val="28"/>
          <w:szCs w:val="28"/>
        </w:rPr>
      </w:pPr>
      <w:r>
        <w:rPr>
          <w:rFonts w:hint="eastAsia" w:ascii="微软雅黑" w:hAnsi="微软雅黑" w:eastAsia="微软雅黑" w:cs="Arial"/>
          <w:b/>
          <w:bCs/>
          <w:kern w:val="0"/>
          <w:sz w:val="28"/>
          <w:szCs w:val="28"/>
          <w:lang w:eastAsia="zh-CN"/>
        </w:rPr>
        <w:t>北京天地文化发展</w:t>
      </w:r>
      <w:r>
        <w:rPr>
          <w:rFonts w:hint="eastAsia" w:ascii="微软雅黑" w:hAnsi="微软雅黑" w:eastAsia="微软雅黑" w:cs="Arial"/>
          <w:b/>
          <w:bCs/>
          <w:kern w:val="0"/>
          <w:sz w:val="28"/>
          <w:szCs w:val="28"/>
        </w:rPr>
        <w:t>基金会印章使用登记表</w:t>
      </w:r>
    </w:p>
    <w:tbl>
      <w:tblPr>
        <w:tblStyle w:val="9"/>
        <w:tblpPr w:leftFromText="180" w:rightFromText="180" w:vertAnchor="text" w:horzAnchor="page" w:tblpX="1200" w:tblpY="80"/>
        <w:tblOverlap w:val="never"/>
        <w:tblW w:w="9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2004"/>
        <w:gridCol w:w="1330"/>
        <w:gridCol w:w="1287"/>
        <w:gridCol w:w="1215"/>
        <w:gridCol w:w="1368"/>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641" w:type="dxa"/>
            <w:vAlign w:val="center"/>
          </w:tcPr>
          <w:p>
            <w:pPr>
              <w:rPr>
                <w:sz w:val="24"/>
              </w:rPr>
            </w:pPr>
            <w:r>
              <w:rPr>
                <w:rFonts w:hint="eastAsia"/>
                <w:sz w:val="24"/>
              </w:rPr>
              <w:t>日期</w:t>
            </w:r>
          </w:p>
        </w:tc>
        <w:tc>
          <w:tcPr>
            <w:tcW w:w="2004" w:type="dxa"/>
            <w:vAlign w:val="center"/>
          </w:tcPr>
          <w:p>
            <w:pPr>
              <w:rPr>
                <w:sz w:val="24"/>
              </w:rPr>
            </w:pPr>
            <w:r>
              <w:rPr>
                <w:rFonts w:hint="eastAsia"/>
                <w:sz w:val="24"/>
              </w:rPr>
              <w:t>用印文件名称</w:t>
            </w:r>
          </w:p>
          <w:p>
            <w:pPr>
              <w:rPr>
                <w:sz w:val="24"/>
              </w:rPr>
            </w:pPr>
            <w:r>
              <w:rPr>
                <w:rFonts w:hint="eastAsia"/>
                <w:sz w:val="24"/>
              </w:rPr>
              <w:t>及事由</w:t>
            </w:r>
          </w:p>
        </w:tc>
        <w:tc>
          <w:tcPr>
            <w:tcW w:w="1330" w:type="dxa"/>
            <w:vAlign w:val="center"/>
          </w:tcPr>
          <w:p>
            <w:pPr>
              <w:rPr>
                <w:sz w:val="24"/>
              </w:rPr>
            </w:pPr>
            <w:r>
              <w:rPr>
                <w:rFonts w:hint="eastAsia"/>
                <w:sz w:val="24"/>
              </w:rPr>
              <w:t>用印文件份数</w:t>
            </w:r>
          </w:p>
        </w:tc>
        <w:tc>
          <w:tcPr>
            <w:tcW w:w="1287" w:type="dxa"/>
            <w:vAlign w:val="center"/>
          </w:tcPr>
          <w:p>
            <w:pPr>
              <w:rPr>
                <w:sz w:val="24"/>
              </w:rPr>
            </w:pPr>
            <w:r>
              <w:rPr>
                <w:rFonts w:hint="eastAsia"/>
                <w:sz w:val="24"/>
              </w:rPr>
              <w:t>申请人</w:t>
            </w:r>
          </w:p>
        </w:tc>
        <w:tc>
          <w:tcPr>
            <w:tcW w:w="1215" w:type="dxa"/>
            <w:vAlign w:val="center"/>
          </w:tcPr>
          <w:p>
            <w:pPr>
              <w:rPr>
                <w:sz w:val="24"/>
              </w:rPr>
            </w:pPr>
            <w:r>
              <w:rPr>
                <w:rFonts w:hint="eastAsia"/>
                <w:sz w:val="24"/>
              </w:rPr>
              <w:t>经办人</w:t>
            </w:r>
          </w:p>
        </w:tc>
        <w:tc>
          <w:tcPr>
            <w:tcW w:w="1368" w:type="dxa"/>
            <w:vAlign w:val="center"/>
          </w:tcPr>
          <w:p>
            <w:pPr>
              <w:rPr>
                <w:sz w:val="24"/>
              </w:rPr>
            </w:pPr>
            <w:r>
              <w:rPr>
                <w:rFonts w:hint="eastAsia"/>
                <w:sz w:val="24"/>
              </w:rPr>
              <w:t>盖章人</w:t>
            </w:r>
          </w:p>
        </w:tc>
        <w:tc>
          <w:tcPr>
            <w:tcW w:w="1345" w:type="dxa"/>
            <w:vAlign w:val="center"/>
          </w:tcPr>
          <w:p>
            <w:pPr>
              <w:rPr>
                <w:sz w:val="24"/>
              </w:rPr>
            </w:pPr>
            <w:r>
              <w:rPr>
                <w:rFonts w:hint="eastAsia"/>
                <w:sz w:val="24"/>
              </w:rPr>
              <w:t>领导签字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641" w:type="dxa"/>
          </w:tcPr>
          <w:p>
            <w:pPr>
              <w:ind w:firstLine="480" w:firstLineChars="200"/>
              <w:rPr>
                <w:sz w:val="24"/>
              </w:rPr>
            </w:pPr>
          </w:p>
        </w:tc>
        <w:tc>
          <w:tcPr>
            <w:tcW w:w="2004" w:type="dxa"/>
          </w:tcPr>
          <w:p>
            <w:pPr>
              <w:ind w:firstLine="480" w:firstLineChars="200"/>
              <w:rPr>
                <w:sz w:val="24"/>
              </w:rPr>
            </w:pPr>
          </w:p>
        </w:tc>
        <w:tc>
          <w:tcPr>
            <w:tcW w:w="1330" w:type="dxa"/>
          </w:tcPr>
          <w:p>
            <w:pPr>
              <w:ind w:firstLine="480" w:firstLineChars="200"/>
              <w:rPr>
                <w:sz w:val="24"/>
              </w:rPr>
            </w:pPr>
          </w:p>
        </w:tc>
        <w:tc>
          <w:tcPr>
            <w:tcW w:w="1287" w:type="dxa"/>
          </w:tcPr>
          <w:p>
            <w:pPr>
              <w:ind w:firstLine="480" w:firstLineChars="200"/>
              <w:rPr>
                <w:sz w:val="24"/>
              </w:rPr>
            </w:pPr>
          </w:p>
        </w:tc>
        <w:tc>
          <w:tcPr>
            <w:tcW w:w="1215" w:type="dxa"/>
          </w:tcPr>
          <w:p>
            <w:pPr>
              <w:ind w:firstLine="480" w:firstLineChars="200"/>
              <w:rPr>
                <w:sz w:val="24"/>
              </w:rPr>
            </w:pPr>
          </w:p>
        </w:tc>
        <w:tc>
          <w:tcPr>
            <w:tcW w:w="1368" w:type="dxa"/>
          </w:tcPr>
          <w:p>
            <w:pPr>
              <w:ind w:firstLine="480" w:firstLineChars="200"/>
              <w:rPr>
                <w:sz w:val="24"/>
              </w:rPr>
            </w:pPr>
          </w:p>
        </w:tc>
        <w:tc>
          <w:tcPr>
            <w:tcW w:w="1345" w:type="dxa"/>
          </w:tcPr>
          <w:p>
            <w:pPr>
              <w:ind w:firstLine="480" w:firstLineChars="2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641" w:type="dxa"/>
          </w:tcPr>
          <w:p>
            <w:pPr>
              <w:ind w:firstLine="480" w:firstLineChars="200"/>
              <w:rPr>
                <w:sz w:val="24"/>
              </w:rPr>
            </w:pPr>
          </w:p>
        </w:tc>
        <w:tc>
          <w:tcPr>
            <w:tcW w:w="2004" w:type="dxa"/>
          </w:tcPr>
          <w:p>
            <w:pPr>
              <w:ind w:firstLine="480" w:firstLineChars="200"/>
              <w:rPr>
                <w:sz w:val="24"/>
              </w:rPr>
            </w:pPr>
          </w:p>
        </w:tc>
        <w:tc>
          <w:tcPr>
            <w:tcW w:w="1330" w:type="dxa"/>
          </w:tcPr>
          <w:p>
            <w:pPr>
              <w:ind w:firstLine="480" w:firstLineChars="200"/>
              <w:rPr>
                <w:sz w:val="24"/>
              </w:rPr>
            </w:pPr>
          </w:p>
        </w:tc>
        <w:tc>
          <w:tcPr>
            <w:tcW w:w="1287" w:type="dxa"/>
          </w:tcPr>
          <w:p>
            <w:pPr>
              <w:ind w:firstLine="480" w:firstLineChars="200"/>
              <w:rPr>
                <w:sz w:val="24"/>
              </w:rPr>
            </w:pPr>
          </w:p>
        </w:tc>
        <w:tc>
          <w:tcPr>
            <w:tcW w:w="1215" w:type="dxa"/>
          </w:tcPr>
          <w:p>
            <w:pPr>
              <w:ind w:firstLine="480" w:firstLineChars="200"/>
              <w:rPr>
                <w:sz w:val="24"/>
              </w:rPr>
            </w:pPr>
          </w:p>
        </w:tc>
        <w:tc>
          <w:tcPr>
            <w:tcW w:w="1368" w:type="dxa"/>
          </w:tcPr>
          <w:p>
            <w:pPr>
              <w:ind w:firstLine="480" w:firstLineChars="200"/>
              <w:rPr>
                <w:sz w:val="24"/>
              </w:rPr>
            </w:pPr>
          </w:p>
        </w:tc>
        <w:tc>
          <w:tcPr>
            <w:tcW w:w="1345" w:type="dxa"/>
          </w:tcPr>
          <w:p>
            <w:pPr>
              <w:ind w:firstLine="480" w:firstLineChars="2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641" w:type="dxa"/>
          </w:tcPr>
          <w:p>
            <w:pPr>
              <w:ind w:firstLine="480" w:firstLineChars="200"/>
              <w:rPr>
                <w:sz w:val="24"/>
              </w:rPr>
            </w:pPr>
          </w:p>
        </w:tc>
        <w:tc>
          <w:tcPr>
            <w:tcW w:w="2004" w:type="dxa"/>
          </w:tcPr>
          <w:p>
            <w:pPr>
              <w:ind w:firstLine="480" w:firstLineChars="200"/>
              <w:rPr>
                <w:sz w:val="24"/>
              </w:rPr>
            </w:pPr>
          </w:p>
        </w:tc>
        <w:tc>
          <w:tcPr>
            <w:tcW w:w="1330" w:type="dxa"/>
          </w:tcPr>
          <w:p>
            <w:pPr>
              <w:ind w:firstLine="480" w:firstLineChars="200"/>
              <w:rPr>
                <w:sz w:val="24"/>
              </w:rPr>
            </w:pPr>
          </w:p>
        </w:tc>
        <w:tc>
          <w:tcPr>
            <w:tcW w:w="1287" w:type="dxa"/>
          </w:tcPr>
          <w:p>
            <w:pPr>
              <w:ind w:firstLine="480" w:firstLineChars="200"/>
              <w:rPr>
                <w:sz w:val="24"/>
              </w:rPr>
            </w:pPr>
          </w:p>
        </w:tc>
        <w:tc>
          <w:tcPr>
            <w:tcW w:w="1215" w:type="dxa"/>
          </w:tcPr>
          <w:p>
            <w:pPr>
              <w:ind w:firstLine="480" w:firstLineChars="200"/>
              <w:rPr>
                <w:sz w:val="24"/>
              </w:rPr>
            </w:pPr>
          </w:p>
        </w:tc>
        <w:tc>
          <w:tcPr>
            <w:tcW w:w="1368" w:type="dxa"/>
          </w:tcPr>
          <w:p>
            <w:pPr>
              <w:ind w:firstLine="480" w:firstLineChars="200"/>
              <w:rPr>
                <w:sz w:val="24"/>
              </w:rPr>
            </w:pPr>
          </w:p>
        </w:tc>
        <w:tc>
          <w:tcPr>
            <w:tcW w:w="1345" w:type="dxa"/>
          </w:tcPr>
          <w:p>
            <w:pPr>
              <w:ind w:firstLine="480" w:firstLineChars="200"/>
              <w:rPr>
                <w:sz w:val="24"/>
              </w:rPr>
            </w:pPr>
          </w:p>
        </w:tc>
      </w:tr>
    </w:tbl>
    <w:p>
      <w:pPr>
        <w:spacing w:line="360" w:lineRule="auto"/>
        <w:rPr>
          <w:rFonts w:asciiTheme="minorEastAsia" w:hAnsiTheme="minorEastAsia"/>
          <w:sz w:val="24"/>
          <w:szCs w:val="24"/>
        </w:rPr>
      </w:pPr>
    </w:p>
    <w:p>
      <w:pPr>
        <w:spacing w:line="360" w:lineRule="auto"/>
        <w:outlineLvl w:val="1"/>
        <w:rPr>
          <w:rFonts w:asciiTheme="minorEastAsia" w:hAnsiTheme="minorEastAsia"/>
          <w:sz w:val="24"/>
          <w:szCs w:val="24"/>
        </w:rPr>
      </w:pPr>
      <w:bookmarkStart w:id="63" w:name="_Toc403829205"/>
      <w:bookmarkStart w:id="64" w:name="_Toc30826"/>
      <w:r>
        <w:rPr>
          <w:rFonts w:hint="eastAsia" w:asciiTheme="minorEastAsia" w:hAnsiTheme="minorEastAsia"/>
          <w:sz w:val="24"/>
          <w:szCs w:val="24"/>
        </w:rPr>
        <w:t>附件5-3：《印章外借登记表》</w:t>
      </w:r>
      <w:bookmarkEnd w:id="63"/>
      <w:bookmarkEnd w:id="64"/>
    </w:p>
    <w:p>
      <w:pPr>
        <w:ind w:firstLine="560" w:firstLineChars="200"/>
        <w:jc w:val="center"/>
        <w:rPr>
          <w:rFonts w:ascii="微软雅黑" w:hAnsi="微软雅黑" w:eastAsia="微软雅黑" w:cs="Arial"/>
          <w:b/>
          <w:bCs/>
          <w:kern w:val="0"/>
          <w:sz w:val="28"/>
          <w:szCs w:val="28"/>
        </w:rPr>
      </w:pPr>
      <w:r>
        <w:rPr>
          <w:rFonts w:hint="eastAsia" w:ascii="微软雅黑" w:hAnsi="微软雅黑" w:eastAsia="微软雅黑" w:cs="Arial"/>
          <w:b/>
          <w:bCs/>
          <w:kern w:val="0"/>
          <w:sz w:val="28"/>
          <w:szCs w:val="28"/>
          <w:lang w:eastAsia="zh-CN"/>
        </w:rPr>
        <w:t>北京天地文化发展</w:t>
      </w:r>
      <w:r>
        <w:rPr>
          <w:rFonts w:hint="eastAsia" w:ascii="微软雅黑" w:hAnsi="微软雅黑" w:eastAsia="微软雅黑" w:cs="Arial"/>
          <w:b/>
          <w:bCs/>
          <w:kern w:val="0"/>
          <w:sz w:val="28"/>
          <w:szCs w:val="28"/>
        </w:rPr>
        <w:t>基金会印章外借登记表</w:t>
      </w:r>
    </w:p>
    <w:tbl>
      <w:tblPr>
        <w:tblStyle w:val="9"/>
        <w:tblpPr w:leftFromText="180" w:rightFromText="180" w:vertAnchor="text" w:horzAnchor="page" w:tblpX="1170" w:tblpY="63"/>
        <w:tblOverlap w:val="never"/>
        <w:tblW w:w="9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325"/>
        <w:gridCol w:w="1290"/>
        <w:gridCol w:w="1250"/>
        <w:gridCol w:w="1180"/>
        <w:gridCol w:w="1327"/>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242" w:type="dxa"/>
            <w:vAlign w:val="center"/>
          </w:tcPr>
          <w:p>
            <w:pPr>
              <w:rPr>
                <w:sz w:val="24"/>
              </w:rPr>
            </w:pPr>
            <w:r>
              <w:rPr>
                <w:rFonts w:hint="eastAsia"/>
                <w:sz w:val="24"/>
              </w:rPr>
              <w:t>日期</w:t>
            </w:r>
          </w:p>
        </w:tc>
        <w:tc>
          <w:tcPr>
            <w:tcW w:w="1325" w:type="dxa"/>
            <w:vAlign w:val="center"/>
          </w:tcPr>
          <w:p>
            <w:pPr>
              <w:rPr>
                <w:sz w:val="24"/>
              </w:rPr>
            </w:pPr>
            <w:r>
              <w:rPr>
                <w:rFonts w:hint="eastAsia"/>
                <w:sz w:val="24"/>
              </w:rPr>
              <w:t>外借事由</w:t>
            </w:r>
          </w:p>
        </w:tc>
        <w:tc>
          <w:tcPr>
            <w:tcW w:w="1290" w:type="dxa"/>
            <w:vAlign w:val="center"/>
          </w:tcPr>
          <w:p>
            <w:pPr>
              <w:rPr>
                <w:sz w:val="24"/>
              </w:rPr>
            </w:pPr>
            <w:r>
              <w:rPr>
                <w:rFonts w:hint="eastAsia"/>
                <w:sz w:val="24"/>
              </w:rPr>
              <w:t>印章名称</w:t>
            </w:r>
          </w:p>
        </w:tc>
        <w:tc>
          <w:tcPr>
            <w:tcW w:w="1250" w:type="dxa"/>
            <w:vAlign w:val="center"/>
          </w:tcPr>
          <w:p>
            <w:pPr>
              <w:rPr>
                <w:sz w:val="24"/>
              </w:rPr>
            </w:pPr>
            <w:r>
              <w:rPr>
                <w:rFonts w:hint="eastAsia"/>
                <w:sz w:val="24"/>
              </w:rPr>
              <w:t>归还时间</w:t>
            </w:r>
          </w:p>
        </w:tc>
        <w:tc>
          <w:tcPr>
            <w:tcW w:w="1180" w:type="dxa"/>
            <w:vAlign w:val="center"/>
          </w:tcPr>
          <w:p>
            <w:pPr>
              <w:rPr>
                <w:sz w:val="24"/>
              </w:rPr>
            </w:pPr>
            <w:r>
              <w:rPr>
                <w:rFonts w:hint="eastAsia"/>
                <w:sz w:val="24"/>
              </w:rPr>
              <w:t>申请人</w:t>
            </w:r>
          </w:p>
        </w:tc>
        <w:tc>
          <w:tcPr>
            <w:tcW w:w="1327" w:type="dxa"/>
            <w:vAlign w:val="center"/>
          </w:tcPr>
          <w:p>
            <w:pPr>
              <w:rPr>
                <w:sz w:val="24"/>
              </w:rPr>
            </w:pPr>
            <w:r>
              <w:rPr>
                <w:rFonts w:hint="eastAsia"/>
                <w:sz w:val="24"/>
              </w:rPr>
              <w:t>经办人</w:t>
            </w:r>
          </w:p>
        </w:tc>
        <w:tc>
          <w:tcPr>
            <w:tcW w:w="1606" w:type="dxa"/>
            <w:vAlign w:val="center"/>
          </w:tcPr>
          <w:p>
            <w:pPr>
              <w:rPr>
                <w:sz w:val="24"/>
              </w:rPr>
            </w:pPr>
            <w:r>
              <w:rPr>
                <w:rFonts w:hint="eastAsia"/>
                <w:sz w:val="24"/>
              </w:rPr>
              <w:t>领导签字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242" w:type="dxa"/>
          </w:tcPr>
          <w:p>
            <w:pPr>
              <w:ind w:firstLine="480" w:firstLineChars="200"/>
              <w:rPr>
                <w:sz w:val="24"/>
              </w:rPr>
            </w:pPr>
          </w:p>
        </w:tc>
        <w:tc>
          <w:tcPr>
            <w:tcW w:w="1325" w:type="dxa"/>
          </w:tcPr>
          <w:p>
            <w:pPr>
              <w:ind w:firstLine="480" w:firstLineChars="200"/>
              <w:rPr>
                <w:sz w:val="24"/>
              </w:rPr>
            </w:pPr>
          </w:p>
        </w:tc>
        <w:tc>
          <w:tcPr>
            <w:tcW w:w="1290" w:type="dxa"/>
          </w:tcPr>
          <w:p>
            <w:pPr>
              <w:ind w:firstLine="480" w:firstLineChars="200"/>
              <w:rPr>
                <w:sz w:val="24"/>
              </w:rPr>
            </w:pPr>
          </w:p>
        </w:tc>
        <w:tc>
          <w:tcPr>
            <w:tcW w:w="1250" w:type="dxa"/>
          </w:tcPr>
          <w:p>
            <w:pPr>
              <w:ind w:firstLine="480" w:firstLineChars="200"/>
              <w:rPr>
                <w:sz w:val="24"/>
              </w:rPr>
            </w:pPr>
          </w:p>
        </w:tc>
        <w:tc>
          <w:tcPr>
            <w:tcW w:w="1180" w:type="dxa"/>
          </w:tcPr>
          <w:p>
            <w:pPr>
              <w:ind w:firstLine="480" w:firstLineChars="200"/>
              <w:rPr>
                <w:sz w:val="24"/>
              </w:rPr>
            </w:pPr>
          </w:p>
        </w:tc>
        <w:tc>
          <w:tcPr>
            <w:tcW w:w="1327" w:type="dxa"/>
          </w:tcPr>
          <w:p>
            <w:pPr>
              <w:ind w:firstLine="480" w:firstLineChars="200"/>
              <w:rPr>
                <w:sz w:val="24"/>
              </w:rPr>
            </w:pPr>
          </w:p>
        </w:tc>
        <w:tc>
          <w:tcPr>
            <w:tcW w:w="1606" w:type="dxa"/>
          </w:tcPr>
          <w:p>
            <w:pPr>
              <w:ind w:firstLine="480" w:firstLineChars="2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242" w:type="dxa"/>
          </w:tcPr>
          <w:p>
            <w:pPr>
              <w:ind w:firstLine="480" w:firstLineChars="200"/>
              <w:rPr>
                <w:sz w:val="24"/>
              </w:rPr>
            </w:pPr>
          </w:p>
        </w:tc>
        <w:tc>
          <w:tcPr>
            <w:tcW w:w="1325" w:type="dxa"/>
          </w:tcPr>
          <w:p>
            <w:pPr>
              <w:ind w:firstLine="480" w:firstLineChars="200"/>
              <w:rPr>
                <w:sz w:val="24"/>
              </w:rPr>
            </w:pPr>
          </w:p>
        </w:tc>
        <w:tc>
          <w:tcPr>
            <w:tcW w:w="1290" w:type="dxa"/>
          </w:tcPr>
          <w:p>
            <w:pPr>
              <w:ind w:firstLine="480" w:firstLineChars="200"/>
              <w:rPr>
                <w:sz w:val="24"/>
              </w:rPr>
            </w:pPr>
          </w:p>
        </w:tc>
        <w:tc>
          <w:tcPr>
            <w:tcW w:w="1250" w:type="dxa"/>
          </w:tcPr>
          <w:p>
            <w:pPr>
              <w:ind w:firstLine="480" w:firstLineChars="200"/>
              <w:rPr>
                <w:sz w:val="24"/>
              </w:rPr>
            </w:pPr>
          </w:p>
        </w:tc>
        <w:tc>
          <w:tcPr>
            <w:tcW w:w="1180" w:type="dxa"/>
          </w:tcPr>
          <w:p>
            <w:pPr>
              <w:ind w:firstLine="480" w:firstLineChars="200"/>
              <w:rPr>
                <w:sz w:val="24"/>
              </w:rPr>
            </w:pPr>
          </w:p>
        </w:tc>
        <w:tc>
          <w:tcPr>
            <w:tcW w:w="1327" w:type="dxa"/>
          </w:tcPr>
          <w:p>
            <w:pPr>
              <w:ind w:firstLine="480" w:firstLineChars="200"/>
              <w:rPr>
                <w:sz w:val="24"/>
              </w:rPr>
            </w:pPr>
          </w:p>
        </w:tc>
        <w:tc>
          <w:tcPr>
            <w:tcW w:w="1606" w:type="dxa"/>
          </w:tcPr>
          <w:p>
            <w:pPr>
              <w:ind w:firstLine="480" w:firstLineChars="2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242" w:type="dxa"/>
          </w:tcPr>
          <w:p>
            <w:pPr>
              <w:ind w:firstLine="480" w:firstLineChars="200"/>
              <w:rPr>
                <w:sz w:val="24"/>
              </w:rPr>
            </w:pPr>
          </w:p>
        </w:tc>
        <w:tc>
          <w:tcPr>
            <w:tcW w:w="1325" w:type="dxa"/>
          </w:tcPr>
          <w:p>
            <w:pPr>
              <w:ind w:firstLine="480" w:firstLineChars="200"/>
              <w:rPr>
                <w:sz w:val="24"/>
              </w:rPr>
            </w:pPr>
          </w:p>
        </w:tc>
        <w:tc>
          <w:tcPr>
            <w:tcW w:w="1290" w:type="dxa"/>
          </w:tcPr>
          <w:p>
            <w:pPr>
              <w:ind w:firstLine="480" w:firstLineChars="200"/>
              <w:rPr>
                <w:sz w:val="24"/>
              </w:rPr>
            </w:pPr>
          </w:p>
        </w:tc>
        <w:tc>
          <w:tcPr>
            <w:tcW w:w="1250" w:type="dxa"/>
          </w:tcPr>
          <w:p>
            <w:pPr>
              <w:ind w:firstLine="480" w:firstLineChars="200"/>
              <w:rPr>
                <w:sz w:val="24"/>
              </w:rPr>
            </w:pPr>
          </w:p>
        </w:tc>
        <w:tc>
          <w:tcPr>
            <w:tcW w:w="1180" w:type="dxa"/>
          </w:tcPr>
          <w:p>
            <w:pPr>
              <w:ind w:firstLine="480" w:firstLineChars="200"/>
              <w:rPr>
                <w:sz w:val="24"/>
              </w:rPr>
            </w:pPr>
          </w:p>
        </w:tc>
        <w:tc>
          <w:tcPr>
            <w:tcW w:w="1327" w:type="dxa"/>
          </w:tcPr>
          <w:p>
            <w:pPr>
              <w:ind w:firstLine="480" w:firstLineChars="200"/>
              <w:rPr>
                <w:sz w:val="24"/>
              </w:rPr>
            </w:pPr>
          </w:p>
        </w:tc>
        <w:tc>
          <w:tcPr>
            <w:tcW w:w="1606" w:type="dxa"/>
          </w:tcPr>
          <w:p>
            <w:pPr>
              <w:ind w:firstLine="480" w:firstLineChars="200"/>
              <w:rPr>
                <w:sz w:val="24"/>
              </w:rPr>
            </w:pPr>
          </w:p>
        </w:tc>
      </w:tr>
    </w:tbl>
    <w:p>
      <w:pPr>
        <w:widowControl/>
        <w:shd w:val="clear" w:color="auto" w:fill="FFFFFF"/>
        <w:spacing w:line="360" w:lineRule="auto"/>
        <w:textAlignment w:val="baseline"/>
        <w:rPr>
          <w:rFonts w:cs="Arial" w:asciiTheme="minorEastAsia" w:hAnsiTheme="minorEastAsia"/>
          <w:kern w:val="0"/>
          <w:sz w:val="24"/>
        </w:rPr>
      </w:pPr>
    </w:p>
    <w:p>
      <w:pPr>
        <w:spacing w:line="360" w:lineRule="auto"/>
        <w:outlineLvl w:val="1"/>
        <w:rPr>
          <w:rFonts w:asciiTheme="minorEastAsia" w:hAnsiTheme="minorEastAsia"/>
          <w:sz w:val="24"/>
          <w:szCs w:val="24"/>
        </w:rPr>
      </w:pPr>
      <w:bookmarkStart w:id="65" w:name="_Toc24751"/>
      <w:bookmarkStart w:id="66" w:name="_Toc403829206"/>
      <w:r>
        <w:rPr>
          <w:rFonts w:hint="eastAsia" w:asciiTheme="minorEastAsia" w:hAnsiTheme="minorEastAsia"/>
          <w:sz w:val="24"/>
          <w:szCs w:val="24"/>
        </w:rPr>
        <w:t>附件5-4：《印章保管人员备案表》</w:t>
      </w:r>
      <w:bookmarkEnd w:id="65"/>
      <w:bookmarkEnd w:id="66"/>
    </w:p>
    <w:p>
      <w:pPr>
        <w:ind w:firstLine="560" w:firstLineChars="200"/>
        <w:jc w:val="center"/>
        <w:rPr>
          <w:rFonts w:ascii="微软雅黑" w:hAnsi="微软雅黑" w:eastAsia="微软雅黑" w:cs="Arial"/>
          <w:b/>
          <w:bCs/>
          <w:kern w:val="0"/>
          <w:sz w:val="28"/>
          <w:szCs w:val="28"/>
        </w:rPr>
      </w:pPr>
      <w:r>
        <w:rPr>
          <w:rFonts w:hint="eastAsia" w:ascii="微软雅黑" w:hAnsi="微软雅黑" w:eastAsia="微软雅黑" w:cs="Arial"/>
          <w:b/>
          <w:bCs/>
          <w:kern w:val="0"/>
          <w:sz w:val="28"/>
          <w:szCs w:val="28"/>
          <w:lang w:eastAsia="zh-CN"/>
        </w:rPr>
        <w:t>北京天地文化发展</w:t>
      </w:r>
      <w:r>
        <w:rPr>
          <w:rFonts w:hint="eastAsia" w:ascii="微软雅黑" w:hAnsi="微软雅黑" w:eastAsia="微软雅黑" w:cs="Arial"/>
          <w:b/>
          <w:bCs/>
          <w:kern w:val="0"/>
          <w:sz w:val="28"/>
          <w:szCs w:val="28"/>
        </w:rPr>
        <w:t>基金会印章保管人员备案表</w:t>
      </w:r>
    </w:p>
    <w:tbl>
      <w:tblPr>
        <w:tblStyle w:val="9"/>
        <w:tblpPr w:leftFromText="180" w:rightFromText="180" w:vertAnchor="text" w:horzAnchor="page" w:tblpX="1230" w:tblpY="264"/>
        <w:tblOverlap w:val="never"/>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507"/>
        <w:gridCol w:w="1417"/>
        <w:gridCol w:w="1935"/>
        <w:gridCol w:w="1620"/>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060" w:type="dxa"/>
            <w:vAlign w:val="center"/>
          </w:tcPr>
          <w:p>
            <w:pPr>
              <w:rPr>
                <w:sz w:val="24"/>
              </w:rPr>
            </w:pPr>
            <w:r>
              <w:rPr>
                <w:rFonts w:hint="eastAsia"/>
                <w:sz w:val="24"/>
              </w:rPr>
              <w:t>日期</w:t>
            </w:r>
          </w:p>
        </w:tc>
        <w:tc>
          <w:tcPr>
            <w:tcW w:w="1507" w:type="dxa"/>
            <w:vAlign w:val="center"/>
          </w:tcPr>
          <w:p>
            <w:pPr>
              <w:rPr>
                <w:sz w:val="24"/>
              </w:rPr>
            </w:pPr>
            <w:r>
              <w:rPr>
                <w:rFonts w:hint="eastAsia"/>
                <w:sz w:val="24"/>
              </w:rPr>
              <w:t>存放人</w:t>
            </w:r>
          </w:p>
        </w:tc>
        <w:tc>
          <w:tcPr>
            <w:tcW w:w="1417" w:type="dxa"/>
            <w:vAlign w:val="center"/>
          </w:tcPr>
          <w:p>
            <w:pPr>
              <w:rPr>
                <w:sz w:val="24"/>
              </w:rPr>
            </w:pPr>
            <w:r>
              <w:rPr>
                <w:rFonts w:hint="eastAsia"/>
                <w:sz w:val="24"/>
              </w:rPr>
              <w:t>印章名称</w:t>
            </w:r>
          </w:p>
        </w:tc>
        <w:tc>
          <w:tcPr>
            <w:tcW w:w="1935" w:type="dxa"/>
            <w:vAlign w:val="center"/>
          </w:tcPr>
          <w:p>
            <w:pPr>
              <w:rPr>
                <w:sz w:val="24"/>
              </w:rPr>
            </w:pPr>
            <w:r>
              <w:rPr>
                <w:rFonts w:hint="eastAsia"/>
                <w:sz w:val="24"/>
              </w:rPr>
              <w:t>核批人签字</w:t>
            </w:r>
          </w:p>
        </w:tc>
        <w:tc>
          <w:tcPr>
            <w:tcW w:w="1620" w:type="dxa"/>
            <w:vAlign w:val="center"/>
          </w:tcPr>
          <w:p>
            <w:pPr>
              <w:rPr>
                <w:sz w:val="24"/>
              </w:rPr>
            </w:pPr>
            <w:r>
              <w:rPr>
                <w:rFonts w:hint="eastAsia"/>
                <w:sz w:val="24"/>
              </w:rPr>
              <w:t>存放人签字</w:t>
            </w:r>
          </w:p>
        </w:tc>
        <w:tc>
          <w:tcPr>
            <w:tcW w:w="1635" w:type="dxa"/>
            <w:vAlign w:val="center"/>
          </w:tcPr>
          <w:p>
            <w:pPr>
              <w:rPr>
                <w:sz w:val="24"/>
              </w:rPr>
            </w:pPr>
            <w:r>
              <w:rPr>
                <w:rFonts w:hint="eastAsia"/>
                <w:sz w:val="24"/>
              </w:rPr>
              <w:t>保管人签字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60" w:type="dxa"/>
          </w:tcPr>
          <w:p>
            <w:pPr>
              <w:ind w:firstLine="480" w:firstLineChars="200"/>
              <w:rPr>
                <w:sz w:val="24"/>
              </w:rPr>
            </w:pPr>
          </w:p>
        </w:tc>
        <w:tc>
          <w:tcPr>
            <w:tcW w:w="1507" w:type="dxa"/>
          </w:tcPr>
          <w:p>
            <w:pPr>
              <w:ind w:firstLine="480" w:firstLineChars="200"/>
              <w:rPr>
                <w:sz w:val="24"/>
              </w:rPr>
            </w:pPr>
          </w:p>
        </w:tc>
        <w:tc>
          <w:tcPr>
            <w:tcW w:w="1417" w:type="dxa"/>
          </w:tcPr>
          <w:p>
            <w:pPr>
              <w:ind w:firstLine="480" w:firstLineChars="200"/>
              <w:rPr>
                <w:sz w:val="24"/>
              </w:rPr>
            </w:pPr>
          </w:p>
        </w:tc>
        <w:tc>
          <w:tcPr>
            <w:tcW w:w="1935" w:type="dxa"/>
          </w:tcPr>
          <w:p>
            <w:pPr>
              <w:ind w:firstLine="480" w:firstLineChars="200"/>
              <w:rPr>
                <w:sz w:val="24"/>
              </w:rPr>
            </w:pPr>
          </w:p>
        </w:tc>
        <w:tc>
          <w:tcPr>
            <w:tcW w:w="1620" w:type="dxa"/>
          </w:tcPr>
          <w:p>
            <w:pPr>
              <w:ind w:firstLine="480" w:firstLineChars="200"/>
              <w:rPr>
                <w:sz w:val="24"/>
              </w:rPr>
            </w:pPr>
          </w:p>
        </w:tc>
        <w:tc>
          <w:tcPr>
            <w:tcW w:w="1635" w:type="dxa"/>
          </w:tcPr>
          <w:p>
            <w:pPr>
              <w:ind w:firstLine="480" w:firstLineChars="2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60" w:type="dxa"/>
          </w:tcPr>
          <w:p>
            <w:pPr>
              <w:ind w:firstLine="480" w:firstLineChars="200"/>
              <w:rPr>
                <w:sz w:val="24"/>
              </w:rPr>
            </w:pPr>
          </w:p>
        </w:tc>
        <w:tc>
          <w:tcPr>
            <w:tcW w:w="1507" w:type="dxa"/>
          </w:tcPr>
          <w:p>
            <w:pPr>
              <w:ind w:firstLine="480" w:firstLineChars="200"/>
              <w:rPr>
                <w:sz w:val="24"/>
              </w:rPr>
            </w:pPr>
          </w:p>
        </w:tc>
        <w:tc>
          <w:tcPr>
            <w:tcW w:w="1417" w:type="dxa"/>
          </w:tcPr>
          <w:p>
            <w:pPr>
              <w:ind w:firstLine="480" w:firstLineChars="200"/>
              <w:rPr>
                <w:sz w:val="24"/>
              </w:rPr>
            </w:pPr>
          </w:p>
        </w:tc>
        <w:tc>
          <w:tcPr>
            <w:tcW w:w="1935" w:type="dxa"/>
          </w:tcPr>
          <w:p>
            <w:pPr>
              <w:ind w:firstLine="480" w:firstLineChars="200"/>
              <w:rPr>
                <w:sz w:val="24"/>
              </w:rPr>
            </w:pPr>
          </w:p>
        </w:tc>
        <w:tc>
          <w:tcPr>
            <w:tcW w:w="1620" w:type="dxa"/>
          </w:tcPr>
          <w:p>
            <w:pPr>
              <w:ind w:firstLine="480" w:firstLineChars="200"/>
              <w:rPr>
                <w:sz w:val="24"/>
              </w:rPr>
            </w:pPr>
          </w:p>
        </w:tc>
        <w:tc>
          <w:tcPr>
            <w:tcW w:w="1635" w:type="dxa"/>
          </w:tcPr>
          <w:p>
            <w:pPr>
              <w:ind w:firstLine="480" w:firstLineChars="2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60" w:type="dxa"/>
          </w:tcPr>
          <w:p>
            <w:pPr>
              <w:ind w:firstLine="480" w:firstLineChars="200"/>
              <w:rPr>
                <w:sz w:val="24"/>
              </w:rPr>
            </w:pPr>
          </w:p>
        </w:tc>
        <w:tc>
          <w:tcPr>
            <w:tcW w:w="1507" w:type="dxa"/>
          </w:tcPr>
          <w:p>
            <w:pPr>
              <w:ind w:firstLine="480" w:firstLineChars="200"/>
              <w:rPr>
                <w:sz w:val="24"/>
              </w:rPr>
            </w:pPr>
          </w:p>
        </w:tc>
        <w:tc>
          <w:tcPr>
            <w:tcW w:w="1417" w:type="dxa"/>
          </w:tcPr>
          <w:p>
            <w:pPr>
              <w:ind w:firstLine="480" w:firstLineChars="200"/>
              <w:rPr>
                <w:sz w:val="24"/>
              </w:rPr>
            </w:pPr>
          </w:p>
        </w:tc>
        <w:tc>
          <w:tcPr>
            <w:tcW w:w="1935" w:type="dxa"/>
          </w:tcPr>
          <w:p>
            <w:pPr>
              <w:ind w:firstLine="480" w:firstLineChars="200"/>
              <w:rPr>
                <w:sz w:val="24"/>
              </w:rPr>
            </w:pPr>
          </w:p>
        </w:tc>
        <w:tc>
          <w:tcPr>
            <w:tcW w:w="1620" w:type="dxa"/>
          </w:tcPr>
          <w:p>
            <w:pPr>
              <w:ind w:firstLine="480" w:firstLineChars="200"/>
              <w:rPr>
                <w:sz w:val="24"/>
              </w:rPr>
            </w:pPr>
          </w:p>
        </w:tc>
        <w:tc>
          <w:tcPr>
            <w:tcW w:w="1635" w:type="dxa"/>
          </w:tcPr>
          <w:p>
            <w:pPr>
              <w:ind w:firstLine="480" w:firstLineChars="200"/>
              <w:rPr>
                <w:sz w:val="24"/>
              </w:rPr>
            </w:pPr>
          </w:p>
        </w:tc>
      </w:tr>
    </w:tbl>
    <w:p>
      <w:pPr>
        <w:spacing w:line="360" w:lineRule="auto"/>
        <w:outlineLvl w:val="1"/>
        <w:rPr>
          <w:rFonts w:asciiTheme="minorEastAsia" w:hAnsiTheme="minorEastAsia"/>
          <w:sz w:val="24"/>
          <w:szCs w:val="24"/>
        </w:rPr>
      </w:pPr>
      <w:bookmarkStart w:id="67" w:name="_Toc21539"/>
      <w:bookmarkStart w:id="68" w:name="_Toc403829207"/>
      <w:r>
        <w:rPr>
          <w:rFonts w:hint="eastAsia" w:asciiTheme="minorEastAsia" w:hAnsiTheme="minorEastAsia"/>
          <w:sz w:val="24"/>
          <w:szCs w:val="24"/>
        </w:rPr>
        <w:t>附件6-1：《采购申请表》</w:t>
      </w:r>
      <w:bookmarkEnd w:id="67"/>
      <w:bookmarkEnd w:id="68"/>
    </w:p>
    <w:p>
      <w:pPr>
        <w:spacing w:after="360" w:line="360" w:lineRule="auto"/>
        <w:ind w:firstLine="560" w:firstLineChars="200"/>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基金会采购申请表</w:t>
      </w:r>
    </w:p>
    <w:tbl>
      <w:tblPr>
        <w:tblStyle w:val="9"/>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407"/>
        <w:gridCol w:w="1564"/>
        <w:gridCol w:w="137"/>
        <w:gridCol w:w="2167"/>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ind w:right="-105"/>
              <w:jc w:val="center"/>
              <w:rPr>
                <w:rFonts w:ascii="宋体" w:hAnsi="宋体"/>
                <w:bCs/>
                <w:sz w:val="24"/>
              </w:rPr>
            </w:pPr>
            <w:r>
              <w:rPr>
                <w:rFonts w:hint="eastAsia" w:ascii="宋体" w:hAnsi="宋体"/>
                <w:bCs/>
                <w:kern w:val="0"/>
                <w:sz w:val="24"/>
              </w:rPr>
              <w:t>申请人</w:t>
            </w:r>
          </w:p>
        </w:tc>
        <w:tc>
          <w:tcPr>
            <w:tcW w:w="2407" w:type="dxa"/>
            <w:tcBorders>
              <w:top w:val="single" w:color="auto" w:sz="6" w:space="0"/>
              <w:left w:val="single" w:color="auto" w:sz="6" w:space="0"/>
              <w:bottom w:val="single" w:color="auto" w:sz="4" w:space="0"/>
              <w:right w:val="single" w:color="auto" w:sz="4" w:space="0"/>
            </w:tcBorders>
            <w:vAlign w:val="center"/>
          </w:tcPr>
          <w:p>
            <w:pPr>
              <w:spacing w:line="360" w:lineRule="auto"/>
              <w:ind w:right="-108" w:firstLine="480" w:firstLineChars="200"/>
              <w:jc w:val="center"/>
              <w:rPr>
                <w:rFonts w:ascii="宋体" w:hAnsi="宋体"/>
                <w:bCs/>
                <w:sz w:val="24"/>
              </w:rPr>
            </w:pPr>
          </w:p>
        </w:tc>
        <w:tc>
          <w:tcPr>
            <w:tcW w:w="1564" w:type="dxa"/>
            <w:tcBorders>
              <w:top w:val="single" w:color="auto" w:sz="6" w:space="0"/>
              <w:left w:val="single" w:color="auto" w:sz="4" w:space="0"/>
              <w:bottom w:val="single" w:color="auto" w:sz="4" w:space="0"/>
              <w:right w:val="single" w:color="auto" w:sz="4" w:space="0"/>
            </w:tcBorders>
            <w:vAlign w:val="center"/>
          </w:tcPr>
          <w:p>
            <w:pPr>
              <w:spacing w:line="360" w:lineRule="auto"/>
              <w:ind w:right="-108"/>
              <w:jc w:val="center"/>
              <w:rPr>
                <w:rFonts w:ascii="宋体" w:hAnsi="宋体"/>
                <w:bCs/>
                <w:sz w:val="24"/>
              </w:rPr>
            </w:pPr>
            <w:r>
              <w:rPr>
                <w:rFonts w:hint="eastAsia" w:ascii="宋体" w:hAnsi="宋体"/>
                <w:bCs/>
                <w:sz w:val="24"/>
              </w:rPr>
              <w:t>申请部门</w:t>
            </w:r>
          </w:p>
        </w:tc>
        <w:tc>
          <w:tcPr>
            <w:tcW w:w="3116" w:type="dxa"/>
            <w:gridSpan w:val="3"/>
            <w:tcBorders>
              <w:top w:val="single" w:color="auto" w:sz="6" w:space="0"/>
              <w:left w:val="single" w:color="auto" w:sz="4" w:space="0"/>
              <w:bottom w:val="single" w:color="auto" w:sz="4" w:space="0"/>
              <w:right w:val="single" w:color="auto" w:sz="4" w:space="0"/>
            </w:tcBorders>
            <w:vAlign w:val="center"/>
          </w:tcPr>
          <w:p>
            <w:pPr>
              <w:spacing w:line="360" w:lineRule="auto"/>
              <w:ind w:right="-108"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844" w:type="dxa"/>
            <w:vMerge w:val="restart"/>
            <w:tcBorders>
              <w:top w:val="single" w:color="auto" w:sz="6" w:space="0"/>
              <w:left w:val="single" w:color="auto" w:sz="4" w:space="0"/>
              <w:right w:val="single" w:color="auto" w:sz="6" w:space="0"/>
            </w:tcBorders>
            <w:vAlign w:val="center"/>
          </w:tcPr>
          <w:p>
            <w:pPr>
              <w:spacing w:line="360" w:lineRule="auto"/>
              <w:ind w:right="-105"/>
              <w:jc w:val="center"/>
              <w:rPr>
                <w:rFonts w:ascii="宋体" w:hAnsi="宋体"/>
                <w:bCs/>
                <w:kern w:val="0"/>
                <w:sz w:val="24"/>
              </w:rPr>
            </w:pPr>
            <w:r>
              <w:rPr>
                <w:rFonts w:hint="eastAsia" w:ascii="宋体" w:hAnsi="宋体"/>
                <w:bCs/>
                <w:kern w:val="0"/>
                <w:sz w:val="24"/>
              </w:rPr>
              <w:t>申请采购物品</w:t>
            </w:r>
          </w:p>
          <w:p>
            <w:pPr>
              <w:spacing w:line="360" w:lineRule="auto"/>
              <w:ind w:right="-105"/>
              <w:jc w:val="center"/>
              <w:rPr>
                <w:rFonts w:ascii="宋体" w:hAnsi="宋体"/>
                <w:bCs/>
                <w:kern w:val="0"/>
                <w:sz w:val="24"/>
              </w:rPr>
            </w:pPr>
            <w:r>
              <w:rPr>
                <w:rFonts w:hint="eastAsia" w:ascii="宋体" w:hAnsi="宋体"/>
                <w:bCs/>
                <w:kern w:val="0"/>
                <w:sz w:val="24"/>
              </w:rPr>
              <w:t>类型及数量</w:t>
            </w:r>
          </w:p>
        </w:tc>
        <w:tc>
          <w:tcPr>
            <w:tcW w:w="3971"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ind w:right="-105"/>
              <w:jc w:val="center"/>
              <w:rPr>
                <w:rFonts w:ascii="宋体" w:hAnsi="宋体"/>
                <w:bCs/>
                <w:kern w:val="0"/>
                <w:sz w:val="24"/>
              </w:rPr>
            </w:pPr>
            <w:r>
              <w:rPr>
                <w:rFonts w:hint="eastAsia" w:ascii="宋体" w:hAnsi="宋体"/>
                <w:bCs/>
                <w:kern w:val="0"/>
                <w:sz w:val="24"/>
              </w:rPr>
              <w:t>申请采购物品类型</w:t>
            </w:r>
          </w:p>
        </w:tc>
        <w:tc>
          <w:tcPr>
            <w:tcW w:w="230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right="-105"/>
              <w:rPr>
                <w:rFonts w:ascii="宋体" w:hAnsi="宋体"/>
                <w:bCs/>
                <w:sz w:val="24"/>
              </w:rPr>
            </w:pPr>
            <w:r>
              <w:rPr>
                <w:rFonts w:hint="eastAsia" w:ascii="宋体" w:hAnsi="宋体"/>
                <w:bCs/>
                <w:kern w:val="0"/>
                <w:sz w:val="24"/>
              </w:rPr>
              <w:t>申请采购物品数量</w:t>
            </w:r>
          </w:p>
        </w:tc>
        <w:tc>
          <w:tcPr>
            <w:tcW w:w="812" w:type="dxa"/>
            <w:tcBorders>
              <w:top w:val="single" w:color="auto" w:sz="4" w:space="0"/>
              <w:left w:val="single" w:color="auto" w:sz="4" w:space="0"/>
              <w:bottom w:val="single" w:color="auto" w:sz="4" w:space="0"/>
              <w:right w:val="single" w:color="auto" w:sz="4" w:space="0"/>
            </w:tcBorders>
            <w:vAlign w:val="center"/>
          </w:tcPr>
          <w:p>
            <w:pPr>
              <w:spacing w:line="360" w:lineRule="auto"/>
              <w:ind w:right="-105"/>
              <w:rPr>
                <w:rFonts w:ascii="宋体" w:hAnsi="宋体"/>
                <w:bCs/>
                <w:sz w:val="24"/>
              </w:rPr>
            </w:pPr>
            <w:r>
              <w:rPr>
                <w:rFonts w:hint="eastAsia" w:ascii="宋体" w:hAnsi="宋体"/>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844" w:type="dxa"/>
            <w:vMerge w:val="continue"/>
            <w:tcBorders>
              <w:left w:val="single" w:color="auto" w:sz="4" w:space="0"/>
              <w:right w:val="single" w:color="auto" w:sz="6" w:space="0"/>
            </w:tcBorders>
            <w:vAlign w:val="center"/>
          </w:tcPr>
          <w:p>
            <w:pPr>
              <w:spacing w:line="360" w:lineRule="auto"/>
              <w:ind w:right="-105"/>
              <w:jc w:val="center"/>
              <w:rPr>
                <w:rFonts w:ascii="宋体" w:hAnsi="宋体"/>
                <w:bCs/>
                <w:kern w:val="0"/>
                <w:sz w:val="24"/>
              </w:rPr>
            </w:pPr>
          </w:p>
        </w:tc>
        <w:tc>
          <w:tcPr>
            <w:tcW w:w="3971"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ind w:right="-105" w:firstLine="480" w:firstLineChars="200"/>
              <w:jc w:val="center"/>
              <w:rPr>
                <w:rFonts w:ascii="宋体" w:hAnsi="宋体"/>
                <w:bCs/>
                <w:sz w:val="24"/>
              </w:rPr>
            </w:pPr>
          </w:p>
        </w:tc>
        <w:tc>
          <w:tcPr>
            <w:tcW w:w="230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right="-105" w:firstLine="480" w:firstLineChars="200"/>
              <w:jc w:val="center"/>
              <w:rPr>
                <w:rFonts w:ascii="宋体" w:hAnsi="宋体"/>
                <w:bCs/>
                <w:sz w:val="24"/>
              </w:rPr>
            </w:pPr>
          </w:p>
        </w:tc>
        <w:tc>
          <w:tcPr>
            <w:tcW w:w="812" w:type="dxa"/>
            <w:tcBorders>
              <w:top w:val="single" w:color="auto" w:sz="4" w:space="0"/>
              <w:left w:val="single" w:color="auto" w:sz="4" w:space="0"/>
              <w:bottom w:val="single" w:color="auto" w:sz="4" w:space="0"/>
              <w:right w:val="single" w:color="auto" w:sz="4" w:space="0"/>
            </w:tcBorders>
            <w:vAlign w:val="center"/>
          </w:tcPr>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844" w:type="dxa"/>
            <w:vMerge w:val="continue"/>
            <w:tcBorders>
              <w:left w:val="single" w:color="auto" w:sz="4" w:space="0"/>
              <w:right w:val="single" w:color="auto" w:sz="6" w:space="0"/>
            </w:tcBorders>
            <w:vAlign w:val="center"/>
          </w:tcPr>
          <w:p>
            <w:pPr>
              <w:spacing w:line="360" w:lineRule="auto"/>
              <w:ind w:right="-105"/>
              <w:jc w:val="center"/>
              <w:rPr>
                <w:rFonts w:ascii="宋体" w:hAnsi="宋体"/>
                <w:bCs/>
                <w:kern w:val="0"/>
                <w:sz w:val="24"/>
              </w:rPr>
            </w:pPr>
          </w:p>
        </w:tc>
        <w:tc>
          <w:tcPr>
            <w:tcW w:w="3971"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ind w:right="-105" w:firstLine="480" w:firstLineChars="200"/>
              <w:jc w:val="center"/>
              <w:rPr>
                <w:rFonts w:ascii="宋体" w:hAnsi="宋体"/>
                <w:bCs/>
                <w:sz w:val="24"/>
              </w:rPr>
            </w:pPr>
          </w:p>
        </w:tc>
        <w:tc>
          <w:tcPr>
            <w:tcW w:w="230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right="-105" w:firstLine="480" w:firstLineChars="200"/>
              <w:jc w:val="center"/>
              <w:rPr>
                <w:rFonts w:ascii="宋体" w:hAnsi="宋体"/>
                <w:bCs/>
                <w:sz w:val="24"/>
              </w:rPr>
            </w:pPr>
          </w:p>
        </w:tc>
        <w:tc>
          <w:tcPr>
            <w:tcW w:w="812" w:type="dxa"/>
            <w:tcBorders>
              <w:top w:val="single" w:color="auto" w:sz="4" w:space="0"/>
              <w:left w:val="single" w:color="auto" w:sz="4" w:space="0"/>
              <w:bottom w:val="single" w:color="auto" w:sz="4" w:space="0"/>
              <w:right w:val="single" w:color="auto" w:sz="4" w:space="0"/>
            </w:tcBorders>
            <w:vAlign w:val="center"/>
          </w:tcPr>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844" w:type="dxa"/>
            <w:vMerge w:val="continue"/>
            <w:tcBorders>
              <w:left w:val="single" w:color="auto" w:sz="4" w:space="0"/>
              <w:bottom w:val="single" w:color="auto" w:sz="6" w:space="0"/>
              <w:right w:val="single" w:color="auto" w:sz="6" w:space="0"/>
            </w:tcBorders>
            <w:vAlign w:val="center"/>
          </w:tcPr>
          <w:p>
            <w:pPr>
              <w:spacing w:line="360" w:lineRule="auto"/>
              <w:ind w:right="-105"/>
              <w:jc w:val="center"/>
              <w:rPr>
                <w:rFonts w:ascii="宋体" w:hAnsi="宋体"/>
                <w:bCs/>
                <w:kern w:val="0"/>
                <w:sz w:val="24"/>
              </w:rPr>
            </w:pPr>
          </w:p>
        </w:tc>
        <w:tc>
          <w:tcPr>
            <w:tcW w:w="3971" w:type="dxa"/>
            <w:gridSpan w:val="2"/>
            <w:tcBorders>
              <w:top w:val="single" w:color="auto" w:sz="4"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tc>
        <w:tc>
          <w:tcPr>
            <w:tcW w:w="2304" w:type="dxa"/>
            <w:gridSpan w:val="2"/>
            <w:tcBorders>
              <w:top w:val="single" w:color="auto" w:sz="4" w:space="0"/>
              <w:left w:val="single" w:color="auto" w:sz="4"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tc>
        <w:tc>
          <w:tcPr>
            <w:tcW w:w="812" w:type="dxa"/>
            <w:tcBorders>
              <w:top w:val="single" w:color="auto" w:sz="4" w:space="0"/>
              <w:left w:val="single" w:color="auto" w:sz="4"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ind w:right="-105"/>
              <w:jc w:val="center"/>
              <w:rPr>
                <w:rFonts w:ascii="宋体" w:hAnsi="宋体"/>
                <w:bCs/>
                <w:kern w:val="0"/>
                <w:sz w:val="24"/>
              </w:rPr>
            </w:pPr>
            <w:r>
              <w:rPr>
                <w:rFonts w:hint="eastAsia" w:ascii="宋体" w:hAnsi="宋体"/>
                <w:bCs/>
                <w:sz w:val="24"/>
              </w:rPr>
              <w:t>申请采购原因</w:t>
            </w:r>
          </w:p>
        </w:tc>
        <w:tc>
          <w:tcPr>
            <w:tcW w:w="7087" w:type="dxa"/>
            <w:gridSpan w:val="5"/>
            <w:tcBorders>
              <w:top w:val="single" w:color="auto" w:sz="4"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sz w:val="24"/>
              </w:rPr>
            </w:pPr>
            <w:r>
              <w:rPr>
                <w:rFonts w:hint="eastAsia" w:ascii="宋体" w:hAnsi="宋体"/>
                <w:kern w:val="0"/>
                <w:sz w:val="24"/>
              </w:rPr>
              <w:t>申请人签字</w:t>
            </w:r>
          </w:p>
        </w:tc>
        <w:tc>
          <w:tcPr>
            <w:tcW w:w="2407" w:type="dxa"/>
            <w:tcBorders>
              <w:top w:val="single" w:color="auto" w:sz="6" w:space="0"/>
              <w:left w:val="single" w:color="auto" w:sz="6" w:space="0"/>
              <w:bottom w:val="single" w:color="auto" w:sz="6" w:space="0"/>
              <w:right w:val="single" w:color="auto" w:sz="6" w:space="0"/>
            </w:tcBorders>
            <w:vAlign w:val="center"/>
          </w:tcPr>
          <w:p>
            <w:pPr>
              <w:spacing w:line="360" w:lineRule="auto"/>
              <w:ind w:left="-103" w:leftChars="-49" w:right="-105" w:firstLine="480" w:firstLineChars="200"/>
              <w:jc w:val="center"/>
              <w:rPr>
                <w:rFonts w:ascii="宋体" w:hAnsi="宋体"/>
                <w:bCs/>
                <w:sz w:val="24"/>
              </w:rPr>
            </w:pPr>
          </w:p>
          <w:p>
            <w:pPr>
              <w:spacing w:line="360" w:lineRule="auto"/>
              <w:ind w:left="-103" w:leftChars="-49" w:right="-105" w:firstLine="480" w:firstLineChars="200"/>
              <w:jc w:val="center"/>
              <w:rPr>
                <w:rFonts w:ascii="宋体" w:hAnsi="宋体"/>
                <w:bCs/>
                <w:sz w:val="24"/>
              </w:rPr>
            </w:pPr>
          </w:p>
        </w:tc>
        <w:tc>
          <w:tcPr>
            <w:tcW w:w="1701" w:type="dxa"/>
            <w:gridSpan w:val="2"/>
            <w:tcBorders>
              <w:top w:val="single" w:color="auto" w:sz="6" w:space="0"/>
              <w:left w:val="single" w:color="auto" w:sz="6" w:space="0"/>
              <w:bottom w:val="single" w:color="auto" w:sz="6" w:space="0"/>
              <w:right w:val="single" w:color="auto" w:sz="6" w:space="0"/>
            </w:tcBorders>
            <w:vAlign w:val="center"/>
          </w:tcPr>
          <w:p>
            <w:pPr>
              <w:spacing w:line="360" w:lineRule="auto"/>
              <w:ind w:right="-105"/>
              <w:jc w:val="center"/>
              <w:rPr>
                <w:rFonts w:ascii="宋体" w:hAnsi="宋体"/>
                <w:bCs/>
                <w:sz w:val="24"/>
              </w:rPr>
            </w:pPr>
            <w:r>
              <w:rPr>
                <w:rFonts w:hint="eastAsia" w:ascii="宋体" w:hAnsi="宋体"/>
                <w:sz w:val="24"/>
              </w:rPr>
              <w:t>申请时间</w:t>
            </w:r>
          </w:p>
        </w:tc>
        <w:tc>
          <w:tcPr>
            <w:tcW w:w="2979" w:type="dxa"/>
            <w:gridSpan w:val="2"/>
            <w:tcBorders>
              <w:top w:val="single" w:color="auto" w:sz="6"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kern w:val="0"/>
                <w:sz w:val="24"/>
              </w:rPr>
            </w:pPr>
            <w:r>
              <w:rPr>
                <w:rFonts w:hint="eastAsia" w:ascii="宋体" w:hAnsi="宋体"/>
                <w:kern w:val="0"/>
                <w:sz w:val="24"/>
              </w:rPr>
              <w:t>基金会主管</w:t>
            </w:r>
          </w:p>
          <w:p>
            <w:pPr>
              <w:spacing w:line="360" w:lineRule="auto"/>
              <w:jc w:val="center"/>
              <w:rPr>
                <w:rFonts w:ascii="宋体" w:hAnsi="宋体"/>
                <w:kern w:val="0"/>
                <w:sz w:val="24"/>
              </w:rPr>
            </w:pPr>
            <w:r>
              <w:rPr>
                <w:rFonts w:hint="eastAsia" w:ascii="宋体" w:hAnsi="宋体"/>
                <w:kern w:val="0"/>
                <w:sz w:val="24"/>
              </w:rPr>
              <w:t>领导意见</w:t>
            </w:r>
          </w:p>
        </w:tc>
        <w:tc>
          <w:tcPr>
            <w:tcW w:w="7087" w:type="dxa"/>
            <w:gridSpan w:val="5"/>
            <w:tcBorders>
              <w:top w:val="single" w:color="auto" w:sz="6"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tc>
      </w:tr>
    </w:tbl>
    <w:p/>
    <w:p>
      <w:pPr>
        <w:spacing w:line="360" w:lineRule="auto"/>
        <w:outlineLvl w:val="1"/>
        <w:rPr>
          <w:rFonts w:asciiTheme="minorEastAsia" w:hAnsiTheme="minorEastAsia"/>
          <w:sz w:val="24"/>
          <w:szCs w:val="24"/>
        </w:rPr>
      </w:pPr>
    </w:p>
    <w:p>
      <w:pPr>
        <w:spacing w:line="360" w:lineRule="auto"/>
        <w:outlineLvl w:val="1"/>
        <w:rPr>
          <w:rFonts w:asciiTheme="minorEastAsia" w:hAnsiTheme="minorEastAsia"/>
          <w:sz w:val="24"/>
          <w:szCs w:val="24"/>
        </w:rPr>
      </w:pPr>
    </w:p>
    <w:p>
      <w:pPr>
        <w:spacing w:line="360" w:lineRule="auto"/>
        <w:outlineLvl w:val="1"/>
        <w:rPr>
          <w:rFonts w:asciiTheme="minorEastAsia" w:hAnsiTheme="minorEastAsia"/>
          <w:sz w:val="24"/>
          <w:szCs w:val="24"/>
        </w:rPr>
      </w:pPr>
    </w:p>
    <w:p>
      <w:pPr>
        <w:spacing w:line="360" w:lineRule="auto"/>
        <w:outlineLvl w:val="1"/>
        <w:rPr>
          <w:rFonts w:asciiTheme="minorEastAsia" w:hAnsiTheme="minorEastAsia"/>
          <w:sz w:val="24"/>
          <w:szCs w:val="24"/>
        </w:rPr>
      </w:pPr>
    </w:p>
    <w:p>
      <w:pPr>
        <w:spacing w:line="360" w:lineRule="auto"/>
        <w:outlineLvl w:val="1"/>
        <w:rPr>
          <w:rFonts w:asciiTheme="minorEastAsia" w:hAnsiTheme="minorEastAsia"/>
          <w:sz w:val="24"/>
          <w:szCs w:val="24"/>
        </w:rPr>
      </w:pPr>
    </w:p>
    <w:p>
      <w:pPr>
        <w:spacing w:line="360" w:lineRule="auto"/>
        <w:outlineLvl w:val="1"/>
        <w:rPr>
          <w:rFonts w:asciiTheme="minorEastAsia" w:hAnsiTheme="minorEastAsia"/>
          <w:sz w:val="24"/>
          <w:szCs w:val="24"/>
        </w:rPr>
      </w:pPr>
    </w:p>
    <w:p>
      <w:pPr>
        <w:spacing w:line="360" w:lineRule="auto"/>
        <w:outlineLvl w:val="1"/>
        <w:rPr>
          <w:rFonts w:asciiTheme="minorEastAsia" w:hAnsiTheme="minorEastAsia"/>
          <w:sz w:val="24"/>
          <w:szCs w:val="24"/>
        </w:rPr>
      </w:pPr>
    </w:p>
    <w:p>
      <w:pPr>
        <w:spacing w:line="360" w:lineRule="auto"/>
        <w:outlineLvl w:val="1"/>
        <w:rPr>
          <w:rFonts w:asciiTheme="minorEastAsia" w:hAnsiTheme="minorEastAsia"/>
          <w:sz w:val="24"/>
          <w:szCs w:val="24"/>
        </w:rPr>
      </w:pPr>
    </w:p>
    <w:p>
      <w:pPr>
        <w:spacing w:line="360" w:lineRule="auto"/>
        <w:outlineLvl w:val="1"/>
        <w:rPr>
          <w:rFonts w:asciiTheme="minorEastAsia" w:hAnsiTheme="minorEastAsia"/>
          <w:sz w:val="24"/>
          <w:szCs w:val="24"/>
        </w:rPr>
      </w:pPr>
    </w:p>
    <w:p>
      <w:pPr>
        <w:spacing w:line="360" w:lineRule="auto"/>
        <w:outlineLvl w:val="1"/>
        <w:rPr>
          <w:rFonts w:asciiTheme="minorEastAsia" w:hAnsiTheme="minorEastAsia"/>
          <w:sz w:val="24"/>
          <w:szCs w:val="24"/>
        </w:rPr>
      </w:pPr>
    </w:p>
    <w:p>
      <w:pPr>
        <w:spacing w:line="360" w:lineRule="auto"/>
        <w:outlineLvl w:val="1"/>
        <w:rPr>
          <w:rFonts w:asciiTheme="minorEastAsia" w:hAnsiTheme="minorEastAsia"/>
          <w:sz w:val="24"/>
          <w:szCs w:val="24"/>
        </w:rPr>
      </w:pPr>
    </w:p>
    <w:p>
      <w:pPr>
        <w:spacing w:line="360" w:lineRule="auto"/>
        <w:outlineLvl w:val="1"/>
        <w:rPr>
          <w:rFonts w:asciiTheme="minorEastAsia" w:hAnsiTheme="minorEastAsia"/>
          <w:sz w:val="24"/>
          <w:szCs w:val="24"/>
        </w:rPr>
      </w:pPr>
      <w:bookmarkStart w:id="69" w:name="_Toc403829208"/>
      <w:bookmarkStart w:id="70" w:name="_Toc19311"/>
      <w:r>
        <w:rPr>
          <w:rFonts w:hint="eastAsia" w:asciiTheme="minorEastAsia" w:hAnsiTheme="minorEastAsia"/>
          <w:sz w:val="24"/>
          <w:szCs w:val="24"/>
        </w:rPr>
        <w:t>附件7-1：《固定资产档案》</w:t>
      </w:r>
      <w:bookmarkEnd w:id="69"/>
      <w:bookmarkEnd w:id="70"/>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基金会固定资产档案</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401"/>
        <w:gridCol w:w="1444"/>
        <w:gridCol w:w="760"/>
        <w:gridCol w:w="1221"/>
        <w:gridCol w:w="1245"/>
        <w:gridCol w:w="1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6" w:type="dxa"/>
            <w:shd w:val="clear" w:color="auto" w:fill="auto"/>
          </w:tcPr>
          <w:p>
            <w:pPr>
              <w:spacing w:line="360" w:lineRule="auto"/>
              <w:rPr>
                <w:rFonts w:ascii="Calibri" w:hAnsi="Calibri"/>
                <w:sz w:val="24"/>
                <w:szCs w:val="24"/>
              </w:rPr>
            </w:pPr>
            <w:r>
              <w:rPr>
                <w:rFonts w:hint="eastAsia" w:ascii="Calibri" w:hAnsi="Calibri"/>
                <w:sz w:val="24"/>
                <w:szCs w:val="24"/>
              </w:rPr>
              <w:t>编号</w:t>
            </w:r>
          </w:p>
        </w:tc>
        <w:tc>
          <w:tcPr>
            <w:tcW w:w="1401" w:type="dxa"/>
            <w:shd w:val="clear" w:color="auto" w:fill="auto"/>
          </w:tcPr>
          <w:p>
            <w:pPr>
              <w:spacing w:line="360" w:lineRule="auto"/>
              <w:rPr>
                <w:rFonts w:ascii="Calibri" w:hAnsi="Calibri"/>
                <w:sz w:val="24"/>
                <w:szCs w:val="24"/>
              </w:rPr>
            </w:pPr>
            <w:r>
              <w:rPr>
                <w:rFonts w:hint="eastAsia" w:ascii="Calibri" w:hAnsi="Calibri"/>
                <w:sz w:val="24"/>
                <w:szCs w:val="24"/>
              </w:rPr>
              <w:t>资产名称</w:t>
            </w:r>
          </w:p>
        </w:tc>
        <w:tc>
          <w:tcPr>
            <w:tcW w:w="1444" w:type="dxa"/>
            <w:shd w:val="clear" w:color="auto" w:fill="auto"/>
          </w:tcPr>
          <w:p>
            <w:pPr>
              <w:spacing w:line="360" w:lineRule="auto"/>
              <w:rPr>
                <w:rFonts w:ascii="Calibri" w:hAnsi="Calibri"/>
                <w:sz w:val="24"/>
                <w:szCs w:val="24"/>
              </w:rPr>
            </w:pPr>
            <w:r>
              <w:rPr>
                <w:rFonts w:hint="eastAsia" w:ascii="Calibri" w:hAnsi="Calibri"/>
                <w:sz w:val="24"/>
                <w:szCs w:val="24"/>
              </w:rPr>
              <w:t>规格/型号</w:t>
            </w:r>
          </w:p>
        </w:tc>
        <w:tc>
          <w:tcPr>
            <w:tcW w:w="760" w:type="dxa"/>
            <w:shd w:val="clear" w:color="auto" w:fill="auto"/>
          </w:tcPr>
          <w:p>
            <w:pPr>
              <w:spacing w:line="360" w:lineRule="auto"/>
              <w:rPr>
                <w:rFonts w:ascii="Calibri" w:hAnsi="Calibri"/>
                <w:sz w:val="24"/>
                <w:szCs w:val="24"/>
              </w:rPr>
            </w:pPr>
            <w:r>
              <w:rPr>
                <w:rFonts w:hint="eastAsia" w:ascii="Calibri" w:hAnsi="Calibri"/>
                <w:sz w:val="24"/>
                <w:szCs w:val="24"/>
              </w:rPr>
              <w:t>数量</w:t>
            </w:r>
          </w:p>
        </w:tc>
        <w:tc>
          <w:tcPr>
            <w:tcW w:w="1221" w:type="dxa"/>
            <w:shd w:val="clear" w:color="auto" w:fill="auto"/>
          </w:tcPr>
          <w:p>
            <w:pPr>
              <w:spacing w:line="360" w:lineRule="auto"/>
              <w:rPr>
                <w:rFonts w:ascii="Calibri" w:hAnsi="Calibri"/>
                <w:sz w:val="24"/>
                <w:szCs w:val="24"/>
              </w:rPr>
            </w:pPr>
            <w:r>
              <w:rPr>
                <w:rFonts w:hint="eastAsia" w:ascii="Calibri" w:hAnsi="Calibri"/>
                <w:sz w:val="24"/>
                <w:szCs w:val="24"/>
              </w:rPr>
              <w:t>购置时间</w:t>
            </w:r>
          </w:p>
        </w:tc>
        <w:tc>
          <w:tcPr>
            <w:tcW w:w="1245" w:type="dxa"/>
            <w:shd w:val="clear" w:color="auto" w:fill="auto"/>
          </w:tcPr>
          <w:p>
            <w:pPr>
              <w:spacing w:line="360" w:lineRule="auto"/>
              <w:rPr>
                <w:rFonts w:ascii="Calibri" w:hAnsi="Calibri"/>
                <w:sz w:val="24"/>
                <w:szCs w:val="24"/>
              </w:rPr>
            </w:pPr>
            <w:r>
              <w:rPr>
                <w:rFonts w:hint="eastAsia" w:ascii="Calibri" w:hAnsi="Calibri"/>
                <w:sz w:val="24"/>
                <w:szCs w:val="24"/>
              </w:rPr>
              <w:t>保管人</w:t>
            </w:r>
          </w:p>
        </w:tc>
        <w:tc>
          <w:tcPr>
            <w:tcW w:w="1555" w:type="dxa"/>
            <w:shd w:val="clear" w:color="auto" w:fill="auto"/>
          </w:tcPr>
          <w:p>
            <w:pPr>
              <w:spacing w:line="360" w:lineRule="auto"/>
              <w:rPr>
                <w:rFonts w:ascii="Calibri" w:hAnsi="Calibri"/>
                <w:sz w:val="24"/>
                <w:szCs w:val="24"/>
              </w:rPr>
            </w:pPr>
            <w:r>
              <w:rPr>
                <w:rFonts w:hint="eastAsia" w:ascii="Calibri" w:hAnsi="Calibri"/>
                <w:sz w:val="24"/>
                <w:szCs w:val="24"/>
              </w:rPr>
              <w:t>保管部门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6" w:type="dxa"/>
            <w:shd w:val="clear" w:color="auto" w:fill="auto"/>
          </w:tcPr>
          <w:p>
            <w:pPr>
              <w:spacing w:line="360" w:lineRule="auto"/>
              <w:rPr>
                <w:rFonts w:ascii="Calibri" w:hAnsi="Calibri"/>
                <w:sz w:val="24"/>
                <w:szCs w:val="24"/>
              </w:rPr>
            </w:pPr>
          </w:p>
        </w:tc>
        <w:tc>
          <w:tcPr>
            <w:tcW w:w="1401" w:type="dxa"/>
            <w:shd w:val="clear" w:color="auto" w:fill="auto"/>
          </w:tcPr>
          <w:p>
            <w:pPr>
              <w:spacing w:line="360" w:lineRule="auto"/>
              <w:rPr>
                <w:rFonts w:ascii="Calibri" w:hAnsi="Calibri"/>
                <w:sz w:val="24"/>
                <w:szCs w:val="24"/>
              </w:rPr>
            </w:pPr>
          </w:p>
        </w:tc>
        <w:tc>
          <w:tcPr>
            <w:tcW w:w="1444" w:type="dxa"/>
            <w:shd w:val="clear" w:color="auto" w:fill="auto"/>
          </w:tcPr>
          <w:p>
            <w:pPr>
              <w:spacing w:line="360" w:lineRule="auto"/>
              <w:rPr>
                <w:rFonts w:ascii="Calibri" w:hAnsi="Calibri"/>
                <w:sz w:val="24"/>
                <w:szCs w:val="24"/>
              </w:rPr>
            </w:pPr>
          </w:p>
        </w:tc>
        <w:tc>
          <w:tcPr>
            <w:tcW w:w="760" w:type="dxa"/>
            <w:shd w:val="clear" w:color="auto" w:fill="auto"/>
          </w:tcPr>
          <w:p>
            <w:pPr>
              <w:spacing w:line="360" w:lineRule="auto"/>
              <w:rPr>
                <w:rFonts w:ascii="Calibri" w:hAnsi="Calibri"/>
                <w:sz w:val="24"/>
                <w:szCs w:val="24"/>
              </w:rPr>
            </w:pPr>
          </w:p>
        </w:tc>
        <w:tc>
          <w:tcPr>
            <w:tcW w:w="1221" w:type="dxa"/>
            <w:shd w:val="clear" w:color="auto" w:fill="auto"/>
          </w:tcPr>
          <w:p>
            <w:pPr>
              <w:spacing w:line="360" w:lineRule="auto"/>
              <w:rPr>
                <w:rFonts w:ascii="Calibri" w:hAnsi="Calibri"/>
                <w:sz w:val="24"/>
                <w:szCs w:val="24"/>
              </w:rPr>
            </w:pPr>
          </w:p>
        </w:tc>
        <w:tc>
          <w:tcPr>
            <w:tcW w:w="1245" w:type="dxa"/>
            <w:shd w:val="clear" w:color="auto" w:fill="auto"/>
          </w:tcPr>
          <w:p>
            <w:pPr>
              <w:spacing w:line="360" w:lineRule="auto"/>
              <w:rPr>
                <w:rFonts w:ascii="Calibri" w:hAnsi="Calibri"/>
                <w:sz w:val="24"/>
                <w:szCs w:val="24"/>
              </w:rPr>
            </w:pPr>
          </w:p>
        </w:tc>
        <w:tc>
          <w:tcPr>
            <w:tcW w:w="1555" w:type="dxa"/>
            <w:shd w:val="clear" w:color="auto" w:fill="auto"/>
          </w:tcPr>
          <w:p>
            <w:pPr>
              <w:spacing w:line="360" w:lineRule="auto"/>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6" w:type="dxa"/>
            <w:shd w:val="clear" w:color="auto" w:fill="auto"/>
          </w:tcPr>
          <w:p>
            <w:pPr>
              <w:spacing w:line="360" w:lineRule="auto"/>
              <w:rPr>
                <w:rFonts w:ascii="Calibri" w:hAnsi="Calibri"/>
                <w:sz w:val="24"/>
                <w:szCs w:val="24"/>
              </w:rPr>
            </w:pPr>
          </w:p>
        </w:tc>
        <w:tc>
          <w:tcPr>
            <w:tcW w:w="1401" w:type="dxa"/>
            <w:shd w:val="clear" w:color="auto" w:fill="auto"/>
          </w:tcPr>
          <w:p>
            <w:pPr>
              <w:spacing w:line="360" w:lineRule="auto"/>
              <w:rPr>
                <w:rFonts w:ascii="Calibri" w:hAnsi="Calibri"/>
                <w:sz w:val="24"/>
                <w:szCs w:val="24"/>
              </w:rPr>
            </w:pPr>
          </w:p>
        </w:tc>
        <w:tc>
          <w:tcPr>
            <w:tcW w:w="1444" w:type="dxa"/>
            <w:shd w:val="clear" w:color="auto" w:fill="auto"/>
          </w:tcPr>
          <w:p>
            <w:pPr>
              <w:spacing w:line="360" w:lineRule="auto"/>
              <w:rPr>
                <w:rFonts w:ascii="Calibri" w:hAnsi="Calibri"/>
                <w:sz w:val="24"/>
                <w:szCs w:val="24"/>
              </w:rPr>
            </w:pPr>
          </w:p>
        </w:tc>
        <w:tc>
          <w:tcPr>
            <w:tcW w:w="760" w:type="dxa"/>
            <w:shd w:val="clear" w:color="auto" w:fill="auto"/>
          </w:tcPr>
          <w:p>
            <w:pPr>
              <w:spacing w:line="360" w:lineRule="auto"/>
              <w:rPr>
                <w:rFonts w:ascii="Calibri" w:hAnsi="Calibri"/>
                <w:sz w:val="24"/>
                <w:szCs w:val="24"/>
              </w:rPr>
            </w:pPr>
          </w:p>
        </w:tc>
        <w:tc>
          <w:tcPr>
            <w:tcW w:w="1221" w:type="dxa"/>
            <w:shd w:val="clear" w:color="auto" w:fill="auto"/>
          </w:tcPr>
          <w:p>
            <w:pPr>
              <w:spacing w:line="360" w:lineRule="auto"/>
              <w:rPr>
                <w:rFonts w:ascii="Calibri" w:hAnsi="Calibri"/>
                <w:sz w:val="24"/>
                <w:szCs w:val="24"/>
              </w:rPr>
            </w:pPr>
          </w:p>
        </w:tc>
        <w:tc>
          <w:tcPr>
            <w:tcW w:w="1245" w:type="dxa"/>
            <w:shd w:val="clear" w:color="auto" w:fill="auto"/>
          </w:tcPr>
          <w:p>
            <w:pPr>
              <w:spacing w:line="360" w:lineRule="auto"/>
              <w:rPr>
                <w:rFonts w:ascii="Calibri" w:hAnsi="Calibri"/>
                <w:sz w:val="24"/>
                <w:szCs w:val="24"/>
              </w:rPr>
            </w:pPr>
          </w:p>
        </w:tc>
        <w:tc>
          <w:tcPr>
            <w:tcW w:w="1555" w:type="dxa"/>
            <w:shd w:val="clear" w:color="auto" w:fill="auto"/>
          </w:tcPr>
          <w:p>
            <w:pPr>
              <w:spacing w:line="360" w:lineRule="auto"/>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6" w:type="dxa"/>
            <w:shd w:val="clear" w:color="auto" w:fill="auto"/>
          </w:tcPr>
          <w:p>
            <w:pPr>
              <w:spacing w:line="360" w:lineRule="auto"/>
              <w:rPr>
                <w:rFonts w:ascii="Calibri" w:hAnsi="Calibri"/>
                <w:sz w:val="24"/>
                <w:szCs w:val="24"/>
              </w:rPr>
            </w:pPr>
          </w:p>
        </w:tc>
        <w:tc>
          <w:tcPr>
            <w:tcW w:w="1401" w:type="dxa"/>
            <w:shd w:val="clear" w:color="auto" w:fill="auto"/>
          </w:tcPr>
          <w:p>
            <w:pPr>
              <w:spacing w:line="360" w:lineRule="auto"/>
              <w:rPr>
                <w:rFonts w:ascii="Calibri" w:hAnsi="Calibri"/>
                <w:sz w:val="24"/>
                <w:szCs w:val="24"/>
              </w:rPr>
            </w:pPr>
          </w:p>
        </w:tc>
        <w:tc>
          <w:tcPr>
            <w:tcW w:w="1444" w:type="dxa"/>
            <w:shd w:val="clear" w:color="auto" w:fill="auto"/>
          </w:tcPr>
          <w:p>
            <w:pPr>
              <w:spacing w:line="360" w:lineRule="auto"/>
              <w:rPr>
                <w:rFonts w:ascii="Calibri" w:hAnsi="Calibri"/>
                <w:sz w:val="24"/>
                <w:szCs w:val="24"/>
              </w:rPr>
            </w:pPr>
          </w:p>
        </w:tc>
        <w:tc>
          <w:tcPr>
            <w:tcW w:w="760" w:type="dxa"/>
            <w:shd w:val="clear" w:color="auto" w:fill="auto"/>
          </w:tcPr>
          <w:p>
            <w:pPr>
              <w:spacing w:line="360" w:lineRule="auto"/>
              <w:rPr>
                <w:rFonts w:ascii="Calibri" w:hAnsi="Calibri"/>
                <w:sz w:val="24"/>
                <w:szCs w:val="24"/>
              </w:rPr>
            </w:pPr>
          </w:p>
        </w:tc>
        <w:tc>
          <w:tcPr>
            <w:tcW w:w="1221" w:type="dxa"/>
            <w:shd w:val="clear" w:color="auto" w:fill="auto"/>
          </w:tcPr>
          <w:p>
            <w:pPr>
              <w:spacing w:line="360" w:lineRule="auto"/>
              <w:rPr>
                <w:rFonts w:ascii="Calibri" w:hAnsi="Calibri"/>
                <w:sz w:val="24"/>
                <w:szCs w:val="24"/>
              </w:rPr>
            </w:pPr>
          </w:p>
        </w:tc>
        <w:tc>
          <w:tcPr>
            <w:tcW w:w="1245" w:type="dxa"/>
            <w:shd w:val="clear" w:color="auto" w:fill="auto"/>
          </w:tcPr>
          <w:p>
            <w:pPr>
              <w:spacing w:line="360" w:lineRule="auto"/>
              <w:rPr>
                <w:rFonts w:ascii="Calibri" w:hAnsi="Calibri"/>
                <w:sz w:val="24"/>
                <w:szCs w:val="24"/>
              </w:rPr>
            </w:pPr>
          </w:p>
        </w:tc>
        <w:tc>
          <w:tcPr>
            <w:tcW w:w="1555" w:type="dxa"/>
            <w:shd w:val="clear" w:color="auto" w:fill="auto"/>
          </w:tcPr>
          <w:p>
            <w:pPr>
              <w:spacing w:line="360" w:lineRule="auto"/>
              <w:rPr>
                <w:rFonts w:ascii="Calibri" w:hAnsi="Calibri"/>
                <w:sz w:val="24"/>
                <w:szCs w:val="24"/>
              </w:rPr>
            </w:pPr>
          </w:p>
        </w:tc>
      </w:tr>
    </w:tbl>
    <w:p>
      <w:pPr>
        <w:spacing w:line="360" w:lineRule="auto"/>
        <w:outlineLvl w:val="1"/>
        <w:rPr>
          <w:rFonts w:asciiTheme="minorEastAsia" w:hAnsiTheme="minorEastAsia"/>
          <w:sz w:val="24"/>
          <w:szCs w:val="24"/>
        </w:rPr>
      </w:pPr>
    </w:p>
    <w:p>
      <w:pPr>
        <w:spacing w:line="360" w:lineRule="auto"/>
        <w:outlineLvl w:val="1"/>
        <w:rPr>
          <w:rFonts w:asciiTheme="minorEastAsia" w:hAnsiTheme="minorEastAsia"/>
          <w:sz w:val="24"/>
          <w:szCs w:val="24"/>
        </w:rPr>
      </w:pPr>
      <w:bookmarkStart w:id="71" w:name="_Toc11587"/>
      <w:bookmarkStart w:id="72" w:name="_Toc403829209"/>
      <w:r>
        <w:rPr>
          <w:rFonts w:hint="eastAsia" w:asciiTheme="minorEastAsia" w:hAnsiTheme="minorEastAsia"/>
          <w:sz w:val="24"/>
          <w:szCs w:val="24"/>
        </w:rPr>
        <w:t>附件7-2：《固定资产转移申请单》</w:t>
      </w:r>
      <w:bookmarkEnd w:id="71"/>
      <w:bookmarkEnd w:id="72"/>
    </w:p>
    <w:p>
      <w:pPr>
        <w:spacing w:after="360" w:line="360" w:lineRule="auto"/>
        <w:ind w:firstLine="560" w:firstLineChars="200"/>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基金会固定资产转移申请单</w:t>
      </w:r>
    </w:p>
    <w:tbl>
      <w:tblPr>
        <w:tblStyle w:val="9"/>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408"/>
        <w:gridCol w:w="1562"/>
        <w:gridCol w:w="139"/>
        <w:gridCol w:w="2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ind w:right="-105"/>
              <w:jc w:val="center"/>
              <w:rPr>
                <w:rFonts w:ascii="宋体" w:hAnsi="宋体"/>
                <w:bCs/>
                <w:sz w:val="24"/>
              </w:rPr>
            </w:pPr>
            <w:r>
              <w:rPr>
                <w:rFonts w:hint="eastAsia" w:ascii="宋体" w:hAnsi="宋体"/>
                <w:bCs/>
                <w:kern w:val="0"/>
                <w:sz w:val="24"/>
              </w:rPr>
              <w:t>申请人</w:t>
            </w:r>
          </w:p>
        </w:tc>
        <w:tc>
          <w:tcPr>
            <w:tcW w:w="2408" w:type="dxa"/>
            <w:tcBorders>
              <w:top w:val="single" w:color="auto" w:sz="6" w:space="0"/>
              <w:left w:val="single" w:color="auto" w:sz="6" w:space="0"/>
              <w:bottom w:val="single" w:color="auto" w:sz="4" w:space="0"/>
              <w:right w:val="single" w:color="auto" w:sz="4" w:space="0"/>
            </w:tcBorders>
            <w:vAlign w:val="center"/>
          </w:tcPr>
          <w:p>
            <w:pPr>
              <w:spacing w:line="360" w:lineRule="auto"/>
              <w:ind w:right="-108" w:firstLine="480" w:firstLineChars="200"/>
              <w:jc w:val="center"/>
              <w:rPr>
                <w:rFonts w:ascii="宋体" w:hAnsi="宋体"/>
                <w:bCs/>
                <w:sz w:val="24"/>
              </w:rPr>
            </w:pPr>
          </w:p>
        </w:tc>
        <w:tc>
          <w:tcPr>
            <w:tcW w:w="1562" w:type="dxa"/>
            <w:tcBorders>
              <w:top w:val="single" w:color="auto" w:sz="6" w:space="0"/>
              <w:left w:val="single" w:color="auto" w:sz="4" w:space="0"/>
              <w:bottom w:val="single" w:color="auto" w:sz="4" w:space="0"/>
              <w:right w:val="single" w:color="auto" w:sz="4" w:space="0"/>
            </w:tcBorders>
            <w:vAlign w:val="center"/>
          </w:tcPr>
          <w:p>
            <w:pPr>
              <w:spacing w:line="360" w:lineRule="auto"/>
              <w:ind w:right="-108"/>
              <w:jc w:val="center"/>
              <w:rPr>
                <w:rFonts w:ascii="宋体" w:hAnsi="宋体"/>
                <w:bCs/>
                <w:sz w:val="24"/>
              </w:rPr>
            </w:pPr>
            <w:r>
              <w:rPr>
                <w:rFonts w:hint="eastAsia" w:ascii="宋体" w:hAnsi="宋体"/>
                <w:bCs/>
                <w:sz w:val="24"/>
              </w:rPr>
              <w:t>申请部门</w:t>
            </w:r>
          </w:p>
        </w:tc>
        <w:tc>
          <w:tcPr>
            <w:tcW w:w="3117" w:type="dxa"/>
            <w:gridSpan w:val="2"/>
            <w:tcBorders>
              <w:top w:val="single" w:color="auto" w:sz="6" w:space="0"/>
              <w:left w:val="single" w:color="auto" w:sz="4" w:space="0"/>
              <w:bottom w:val="single" w:color="auto" w:sz="4" w:space="0"/>
              <w:right w:val="single" w:color="auto" w:sz="4" w:space="0"/>
            </w:tcBorders>
            <w:vAlign w:val="center"/>
          </w:tcPr>
          <w:p>
            <w:pPr>
              <w:spacing w:line="360" w:lineRule="auto"/>
              <w:ind w:right="-108"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ind w:right="-105"/>
              <w:jc w:val="center"/>
              <w:rPr>
                <w:rFonts w:ascii="宋体" w:hAnsi="宋体"/>
                <w:bCs/>
                <w:kern w:val="0"/>
                <w:sz w:val="24"/>
              </w:rPr>
            </w:pPr>
            <w:r>
              <w:rPr>
                <w:rFonts w:hint="eastAsia" w:ascii="宋体" w:hAnsi="宋体"/>
                <w:bCs/>
                <w:kern w:val="0"/>
                <w:sz w:val="24"/>
              </w:rPr>
              <w:t>接收人</w:t>
            </w:r>
          </w:p>
        </w:tc>
        <w:tc>
          <w:tcPr>
            <w:tcW w:w="2408" w:type="dxa"/>
            <w:tcBorders>
              <w:top w:val="single" w:color="auto" w:sz="6" w:space="0"/>
              <w:left w:val="single" w:color="auto" w:sz="6" w:space="0"/>
              <w:bottom w:val="single" w:color="auto" w:sz="4" w:space="0"/>
              <w:right w:val="single" w:color="auto" w:sz="4" w:space="0"/>
            </w:tcBorders>
            <w:vAlign w:val="center"/>
          </w:tcPr>
          <w:p>
            <w:pPr>
              <w:spacing w:line="360" w:lineRule="auto"/>
              <w:ind w:right="-108" w:firstLine="480" w:firstLineChars="200"/>
              <w:jc w:val="center"/>
              <w:rPr>
                <w:rFonts w:ascii="宋体" w:hAnsi="宋体"/>
                <w:bCs/>
                <w:sz w:val="24"/>
              </w:rPr>
            </w:pPr>
          </w:p>
        </w:tc>
        <w:tc>
          <w:tcPr>
            <w:tcW w:w="1562" w:type="dxa"/>
            <w:tcBorders>
              <w:top w:val="single" w:color="auto" w:sz="6" w:space="0"/>
              <w:left w:val="single" w:color="auto" w:sz="4" w:space="0"/>
              <w:bottom w:val="single" w:color="auto" w:sz="4" w:space="0"/>
              <w:right w:val="single" w:color="auto" w:sz="4" w:space="0"/>
            </w:tcBorders>
            <w:vAlign w:val="center"/>
          </w:tcPr>
          <w:p>
            <w:pPr>
              <w:spacing w:line="360" w:lineRule="auto"/>
              <w:ind w:right="-108"/>
              <w:jc w:val="center"/>
              <w:rPr>
                <w:rFonts w:ascii="宋体" w:hAnsi="宋体"/>
                <w:bCs/>
                <w:sz w:val="24"/>
              </w:rPr>
            </w:pPr>
            <w:r>
              <w:rPr>
                <w:rFonts w:hint="eastAsia" w:ascii="宋体" w:hAnsi="宋体"/>
                <w:bCs/>
                <w:kern w:val="0"/>
                <w:sz w:val="24"/>
              </w:rPr>
              <w:t>接收部门</w:t>
            </w:r>
          </w:p>
        </w:tc>
        <w:tc>
          <w:tcPr>
            <w:tcW w:w="3117" w:type="dxa"/>
            <w:gridSpan w:val="2"/>
            <w:tcBorders>
              <w:top w:val="single" w:color="auto" w:sz="6" w:space="0"/>
              <w:left w:val="single" w:color="auto" w:sz="4" w:space="0"/>
              <w:bottom w:val="single" w:color="auto" w:sz="4" w:space="0"/>
              <w:right w:val="single" w:color="auto" w:sz="4" w:space="0"/>
            </w:tcBorders>
            <w:vAlign w:val="center"/>
          </w:tcPr>
          <w:p>
            <w:pPr>
              <w:spacing w:line="360" w:lineRule="auto"/>
              <w:ind w:right="-108"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ind w:right="-105"/>
              <w:jc w:val="center"/>
              <w:rPr>
                <w:rFonts w:ascii="宋体" w:hAnsi="宋体"/>
                <w:bCs/>
                <w:kern w:val="0"/>
                <w:sz w:val="24"/>
              </w:rPr>
            </w:pPr>
            <w:r>
              <w:rPr>
                <w:rFonts w:hint="eastAsia" w:ascii="宋体" w:hAnsi="宋体"/>
                <w:bCs/>
                <w:kern w:val="0"/>
                <w:sz w:val="24"/>
              </w:rPr>
              <w:t>固定资产转移</w:t>
            </w:r>
          </w:p>
          <w:p>
            <w:pPr>
              <w:spacing w:line="360" w:lineRule="auto"/>
              <w:ind w:right="-105"/>
              <w:jc w:val="center"/>
              <w:rPr>
                <w:rFonts w:ascii="宋体" w:hAnsi="宋体"/>
                <w:bCs/>
                <w:kern w:val="0"/>
                <w:sz w:val="24"/>
              </w:rPr>
            </w:pPr>
            <w:r>
              <w:rPr>
                <w:rFonts w:hint="eastAsia" w:ascii="宋体" w:hAnsi="宋体"/>
                <w:bCs/>
                <w:kern w:val="0"/>
                <w:sz w:val="24"/>
              </w:rPr>
              <w:t>类型及数量</w:t>
            </w:r>
          </w:p>
        </w:tc>
        <w:tc>
          <w:tcPr>
            <w:tcW w:w="7087" w:type="dxa"/>
            <w:gridSpan w:val="4"/>
            <w:tcBorders>
              <w:top w:val="single" w:color="auto" w:sz="4"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ind w:right="-105"/>
              <w:jc w:val="center"/>
              <w:rPr>
                <w:rFonts w:ascii="宋体" w:hAnsi="宋体"/>
                <w:bCs/>
                <w:kern w:val="0"/>
                <w:sz w:val="24"/>
              </w:rPr>
            </w:pPr>
            <w:r>
              <w:rPr>
                <w:rFonts w:hint="eastAsia" w:ascii="宋体" w:hAnsi="宋体"/>
                <w:bCs/>
                <w:sz w:val="24"/>
              </w:rPr>
              <w:t>转移原因</w:t>
            </w:r>
          </w:p>
        </w:tc>
        <w:tc>
          <w:tcPr>
            <w:tcW w:w="7087" w:type="dxa"/>
            <w:gridSpan w:val="4"/>
            <w:tcBorders>
              <w:top w:val="single" w:color="auto" w:sz="4"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sz w:val="24"/>
              </w:rPr>
            </w:pPr>
            <w:r>
              <w:rPr>
                <w:rFonts w:hint="eastAsia" w:ascii="宋体" w:hAnsi="宋体"/>
                <w:kern w:val="0"/>
                <w:sz w:val="24"/>
              </w:rPr>
              <w:t>申请人签字</w:t>
            </w:r>
          </w:p>
        </w:tc>
        <w:tc>
          <w:tcPr>
            <w:tcW w:w="2408" w:type="dxa"/>
            <w:tcBorders>
              <w:top w:val="single" w:color="auto" w:sz="6" w:space="0"/>
              <w:left w:val="single" w:color="auto" w:sz="6" w:space="0"/>
              <w:bottom w:val="single" w:color="auto" w:sz="6" w:space="0"/>
              <w:right w:val="single" w:color="auto" w:sz="6" w:space="0"/>
            </w:tcBorders>
            <w:vAlign w:val="center"/>
          </w:tcPr>
          <w:p>
            <w:pPr>
              <w:spacing w:line="360" w:lineRule="auto"/>
              <w:ind w:left="-103" w:leftChars="-49" w:right="-105" w:firstLine="480" w:firstLineChars="200"/>
              <w:jc w:val="center"/>
              <w:rPr>
                <w:rFonts w:ascii="宋体" w:hAnsi="宋体"/>
                <w:bCs/>
                <w:sz w:val="24"/>
              </w:rPr>
            </w:pPr>
          </w:p>
          <w:p>
            <w:pPr>
              <w:spacing w:line="360" w:lineRule="auto"/>
              <w:ind w:left="-103" w:leftChars="-49" w:right="-105" w:firstLine="480" w:firstLineChars="200"/>
              <w:jc w:val="center"/>
              <w:rPr>
                <w:rFonts w:ascii="宋体" w:hAnsi="宋体"/>
                <w:bCs/>
                <w:sz w:val="24"/>
              </w:rPr>
            </w:pPr>
          </w:p>
        </w:tc>
        <w:tc>
          <w:tcPr>
            <w:tcW w:w="1701" w:type="dxa"/>
            <w:gridSpan w:val="2"/>
            <w:tcBorders>
              <w:top w:val="single" w:color="auto" w:sz="6" w:space="0"/>
              <w:left w:val="single" w:color="auto" w:sz="6" w:space="0"/>
              <w:bottom w:val="single" w:color="auto" w:sz="6" w:space="0"/>
              <w:right w:val="single" w:color="auto" w:sz="6" w:space="0"/>
            </w:tcBorders>
            <w:vAlign w:val="center"/>
          </w:tcPr>
          <w:p>
            <w:pPr>
              <w:spacing w:line="360" w:lineRule="auto"/>
              <w:ind w:right="-105"/>
              <w:jc w:val="center"/>
              <w:rPr>
                <w:rFonts w:ascii="宋体" w:hAnsi="宋体"/>
                <w:bCs/>
                <w:sz w:val="24"/>
              </w:rPr>
            </w:pPr>
            <w:r>
              <w:rPr>
                <w:rFonts w:hint="eastAsia" w:ascii="宋体" w:hAnsi="宋体"/>
                <w:sz w:val="24"/>
              </w:rPr>
              <w:t>申请时间</w:t>
            </w:r>
          </w:p>
        </w:tc>
        <w:tc>
          <w:tcPr>
            <w:tcW w:w="2978" w:type="dxa"/>
            <w:tcBorders>
              <w:top w:val="single" w:color="auto" w:sz="6"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kern w:val="0"/>
                <w:sz w:val="24"/>
              </w:rPr>
            </w:pPr>
            <w:r>
              <w:rPr>
                <w:rFonts w:hint="eastAsia" w:ascii="宋体" w:hAnsi="宋体"/>
                <w:bCs/>
                <w:kern w:val="0"/>
                <w:sz w:val="24"/>
              </w:rPr>
              <w:t>接收人</w:t>
            </w:r>
            <w:r>
              <w:rPr>
                <w:rFonts w:hint="eastAsia" w:ascii="宋体" w:hAnsi="宋体"/>
                <w:kern w:val="0"/>
                <w:sz w:val="24"/>
              </w:rPr>
              <w:t>签字</w:t>
            </w:r>
          </w:p>
        </w:tc>
        <w:tc>
          <w:tcPr>
            <w:tcW w:w="2408" w:type="dxa"/>
            <w:tcBorders>
              <w:top w:val="single" w:color="auto" w:sz="6" w:space="0"/>
              <w:left w:val="single" w:color="auto" w:sz="6" w:space="0"/>
              <w:bottom w:val="single" w:color="auto" w:sz="6" w:space="0"/>
              <w:right w:val="single" w:color="auto" w:sz="6" w:space="0"/>
            </w:tcBorders>
            <w:vAlign w:val="center"/>
          </w:tcPr>
          <w:p>
            <w:pPr>
              <w:spacing w:line="360" w:lineRule="auto"/>
              <w:ind w:left="-103" w:leftChars="-49" w:right="-105" w:firstLine="480" w:firstLineChars="200"/>
              <w:jc w:val="center"/>
              <w:rPr>
                <w:rFonts w:ascii="宋体" w:hAnsi="宋体"/>
                <w:bCs/>
                <w:sz w:val="24"/>
              </w:rPr>
            </w:pPr>
          </w:p>
          <w:p>
            <w:pPr>
              <w:spacing w:line="360" w:lineRule="auto"/>
              <w:ind w:left="-103" w:leftChars="-49" w:right="-105" w:firstLine="480" w:firstLineChars="200"/>
              <w:jc w:val="center"/>
              <w:rPr>
                <w:rFonts w:ascii="宋体" w:hAnsi="宋体"/>
                <w:bCs/>
                <w:sz w:val="24"/>
              </w:rPr>
            </w:pPr>
          </w:p>
        </w:tc>
        <w:tc>
          <w:tcPr>
            <w:tcW w:w="1701" w:type="dxa"/>
            <w:gridSpan w:val="2"/>
            <w:tcBorders>
              <w:top w:val="single" w:color="auto" w:sz="6" w:space="0"/>
              <w:left w:val="single" w:color="auto" w:sz="6" w:space="0"/>
              <w:bottom w:val="single" w:color="auto" w:sz="6" w:space="0"/>
              <w:right w:val="single" w:color="auto" w:sz="6" w:space="0"/>
            </w:tcBorders>
            <w:vAlign w:val="center"/>
          </w:tcPr>
          <w:p>
            <w:pPr>
              <w:spacing w:line="360" w:lineRule="auto"/>
              <w:ind w:right="-105"/>
              <w:jc w:val="center"/>
              <w:rPr>
                <w:rFonts w:ascii="宋体" w:hAnsi="宋体"/>
                <w:sz w:val="24"/>
              </w:rPr>
            </w:pPr>
            <w:r>
              <w:rPr>
                <w:rFonts w:hint="eastAsia" w:ascii="宋体" w:hAnsi="宋体"/>
                <w:bCs/>
                <w:kern w:val="0"/>
                <w:sz w:val="24"/>
              </w:rPr>
              <w:t>接收时间</w:t>
            </w:r>
          </w:p>
        </w:tc>
        <w:tc>
          <w:tcPr>
            <w:tcW w:w="2978" w:type="dxa"/>
            <w:tcBorders>
              <w:top w:val="single" w:color="auto" w:sz="6"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kern w:val="0"/>
                <w:sz w:val="24"/>
              </w:rPr>
            </w:pPr>
            <w:r>
              <w:rPr>
                <w:rFonts w:hint="eastAsia" w:ascii="宋体" w:hAnsi="宋体"/>
                <w:kern w:val="0"/>
                <w:sz w:val="24"/>
              </w:rPr>
              <w:t>主管领导</w:t>
            </w:r>
          </w:p>
          <w:p>
            <w:pPr>
              <w:spacing w:line="360" w:lineRule="auto"/>
              <w:jc w:val="center"/>
              <w:rPr>
                <w:rFonts w:ascii="宋体" w:hAnsi="宋体"/>
                <w:kern w:val="0"/>
                <w:sz w:val="24"/>
              </w:rPr>
            </w:pPr>
            <w:r>
              <w:rPr>
                <w:rFonts w:hint="eastAsia" w:ascii="宋体" w:hAnsi="宋体"/>
                <w:kern w:val="0"/>
                <w:sz w:val="24"/>
              </w:rPr>
              <w:t>意见</w:t>
            </w:r>
          </w:p>
        </w:tc>
        <w:tc>
          <w:tcPr>
            <w:tcW w:w="7087" w:type="dxa"/>
            <w:gridSpan w:val="4"/>
            <w:tcBorders>
              <w:top w:val="single" w:color="auto" w:sz="6"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tc>
      </w:tr>
    </w:tbl>
    <w:p/>
    <w:p>
      <w:pPr>
        <w:spacing w:line="360" w:lineRule="auto"/>
        <w:outlineLvl w:val="1"/>
        <w:rPr>
          <w:rFonts w:hint="eastAsia" w:asciiTheme="minorEastAsia" w:hAnsiTheme="minorEastAsia"/>
          <w:sz w:val="24"/>
          <w:szCs w:val="24"/>
        </w:rPr>
      </w:pPr>
      <w:bookmarkStart w:id="73" w:name="_Toc403829210"/>
    </w:p>
    <w:p>
      <w:pPr>
        <w:spacing w:line="360" w:lineRule="auto"/>
        <w:outlineLvl w:val="1"/>
        <w:rPr>
          <w:rFonts w:hint="eastAsia" w:asciiTheme="minorEastAsia" w:hAnsiTheme="minorEastAsia"/>
          <w:sz w:val="24"/>
          <w:szCs w:val="24"/>
        </w:rPr>
      </w:pPr>
    </w:p>
    <w:p>
      <w:pPr>
        <w:spacing w:line="360" w:lineRule="auto"/>
        <w:outlineLvl w:val="1"/>
        <w:rPr>
          <w:rFonts w:hint="eastAsia" w:asciiTheme="minorEastAsia" w:hAnsiTheme="minorEastAsia"/>
          <w:sz w:val="24"/>
          <w:szCs w:val="24"/>
        </w:rPr>
      </w:pPr>
    </w:p>
    <w:p>
      <w:pPr>
        <w:spacing w:line="360" w:lineRule="auto"/>
        <w:outlineLvl w:val="1"/>
        <w:rPr>
          <w:rFonts w:asciiTheme="minorEastAsia" w:hAnsiTheme="minorEastAsia"/>
          <w:sz w:val="24"/>
          <w:szCs w:val="24"/>
        </w:rPr>
      </w:pPr>
      <w:bookmarkStart w:id="74" w:name="_Toc14988"/>
      <w:r>
        <w:rPr>
          <w:rFonts w:hint="eastAsia" w:asciiTheme="minorEastAsia" w:hAnsiTheme="minorEastAsia"/>
          <w:sz w:val="24"/>
          <w:szCs w:val="24"/>
        </w:rPr>
        <w:t>附件7-3：《固定资产报废申请单》</w:t>
      </w:r>
      <w:bookmarkEnd w:id="73"/>
      <w:bookmarkEnd w:id="74"/>
    </w:p>
    <w:p>
      <w:pPr>
        <w:spacing w:after="360" w:line="360" w:lineRule="auto"/>
        <w:ind w:firstLine="560" w:firstLineChars="200"/>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基金会固定资产报废申请单</w:t>
      </w:r>
    </w:p>
    <w:tbl>
      <w:tblPr>
        <w:tblStyle w:val="9"/>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408"/>
        <w:gridCol w:w="1562"/>
        <w:gridCol w:w="139"/>
        <w:gridCol w:w="2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ind w:right="-105"/>
              <w:jc w:val="center"/>
              <w:rPr>
                <w:rFonts w:ascii="宋体" w:hAnsi="宋体"/>
                <w:bCs/>
                <w:sz w:val="24"/>
              </w:rPr>
            </w:pPr>
            <w:r>
              <w:rPr>
                <w:rFonts w:hint="eastAsia" w:ascii="宋体" w:hAnsi="宋体"/>
                <w:bCs/>
                <w:kern w:val="0"/>
                <w:sz w:val="24"/>
              </w:rPr>
              <w:t>申请人</w:t>
            </w:r>
          </w:p>
        </w:tc>
        <w:tc>
          <w:tcPr>
            <w:tcW w:w="2408" w:type="dxa"/>
            <w:tcBorders>
              <w:top w:val="single" w:color="auto" w:sz="6" w:space="0"/>
              <w:left w:val="single" w:color="auto" w:sz="6" w:space="0"/>
              <w:bottom w:val="single" w:color="auto" w:sz="4" w:space="0"/>
              <w:right w:val="single" w:color="auto" w:sz="4" w:space="0"/>
            </w:tcBorders>
            <w:vAlign w:val="center"/>
          </w:tcPr>
          <w:p>
            <w:pPr>
              <w:spacing w:line="360" w:lineRule="auto"/>
              <w:ind w:right="-108" w:firstLine="480" w:firstLineChars="200"/>
              <w:jc w:val="center"/>
              <w:rPr>
                <w:rFonts w:ascii="宋体" w:hAnsi="宋体"/>
                <w:bCs/>
                <w:sz w:val="24"/>
              </w:rPr>
            </w:pPr>
          </w:p>
        </w:tc>
        <w:tc>
          <w:tcPr>
            <w:tcW w:w="1562" w:type="dxa"/>
            <w:tcBorders>
              <w:top w:val="single" w:color="auto" w:sz="6" w:space="0"/>
              <w:left w:val="single" w:color="auto" w:sz="4" w:space="0"/>
              <w:bottom w:val="single" w:color="auto" w:sz="4" w:space="0"/>
              <w:right w:val="single" w:color="auto" w:sz="4" w:space="0"/>
            </w:tcBorders>
            <w:vAlign w:val="center"/>
          </w:tcPr>
          <w:p>
            <w:pPr>
              <w:spacing w:line="360" w:lineRule="auto"/>
              <w:ind w:right="-108"/>
              <w:jc w:val="center"/>
              <w:rPr>
                <w:rFonts w:ascii="宋体" w:hAnsi="宋体"/>
                <w:bCs/>
                <w:sz w:val="24"/>
              </w:rPr>
            </w:pPr>
            <w:r>
              <w:rPr>
                <w:rFonts w:hint="eastAsia" w:ascii="宋体" w:hAnsi="宋体"/>
                <w:bCs/>
                <w:sz w:val="24"/>
              </w:rPr>
              <w:t>申请部门</w:t>
            </w:r>
          </w:p>
        </w:tc>
        <w:tc>
          <w:tcPr>
            <w:tcW w:w="3117" w:type="dxa"/>
            <w:gridSpan w:val="2"/>
            <w:tcBorders>
              <w:top w:val="single" w:color="auto" w:sz="6" w:space="0"/>
              <w:left w:val="single" w:color="auto" w:sz="4" w:space="0"/>
              <w:bottom w:val="single" w:color="auto" w:sz="4" w:space="0"/>
              <w:right w:val="single" w:color="auto" w:sz="4" w:space="0"/>
            </w:tcBorders>
            <w:vAlign w:val="center"/>
          </w:tcPr>
          <w:p>
            <w:pPr>
              <w:spacing w:line="360" w:lineRule="auto"/>
              <w:ind w:right="-108"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ind w:right="-105"/>
              <w:jc w:val="center"/>
              <w:rPr>
                <w:rFonts w:ascii="宋体" w:hAnsi="宋体"/>
                <w:bCs/>
                <w:kern w:val="0"/>
                <w:sz w:val="24"/>
              </w:rPr>
            </w:pPr>
            <w:r>
              <w:rPr>
                <w:rFonts w:hint="eastAsia" w:ascii="宋体" w:hAnsi="宋体"/>
                <w:bCs/>
                <w:kern w:val="0"/>
                <w:sz w:val="24"/>
              </w:rPr>
              <w:t>固定资产报废</w:t>
            </w:r>
          </w:p>
          <w:p>
            <w:pPr>
              <w:spacing w:line="360" w:lineRule="auto"/>
              <w:ind w:right="-105"/>
              <w:jc w:val="center"/>
              <w:rPr>
                <w:rFonts w:ascii="宋体" w:hAnsi="宋体"/>
                <w:bCs/>
                <w:kern w:val="0"/>
                <w:sz w:val="24"/>
              </w:rPr>
            </w:pPr>
            <w:r>
              <w:rPr>
                <w:rFonts w:hint="eastAsia" w:ascii="宋体" w:hAnsi="宋体"/>
                <w:bCs/>
                <w:kern w:val="0"/>
                <w:sz w:val="24"/>
              </w:rPr>
              <w:t>类型及数量</w:t>
            </w:r>
          </w:p>
        </w:tc>
        <w:tc>
          <w:tcPr>
            <w:tcW w:w="7087" w:type="dxa"/>
            <w:gridSpan w:val="4"/>
            <w:tcBorders>
              <w:top w:val="single" w:color="auto" w:sz="4"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ind w:right="-105"/>
              <w:jc w:val="center"/>
              <w:rPr>
                <w:rFonts w:ascii="宋体" w:hAnsi="宋体"/>
                <w:bCs/>
                <w:kern w:val="0"/>
                <w:sz w:val="24"/>
              </w:rPr>
            </w:pPr>
            <w:r>
              <w:rPr>
                <w:rFonts w:hint="eastAsia" w:ascii="宋体" w:hAnsi="宋体"/>
                <w:bCs/>
                <w:kern w:val="0"/>
                <w:sz w:val="24"/>
              </w:rPr>
              <w:t>报废</w:t>
            </w:r>
            <w:r>
              <w:rPr>
                <w:rFonts w:hint="eastAsia" w:ascii="宋体" w:hAnsi="宋体"/>
                <w:bCs/>
                <w:sz w:val="24"/>
              </w:rPr>
              <w:t>原因</w:t>
            </w:r>
          </w:p>
        </w:tc>
        <w:tc>
          <w:tcPr>
            <w:tcW w:w="7087" w:type="dxa"/>
            <w:gridSpan w:val="4"/>
            <w:tcBorders>
              <w:top w:val="single" w:color="auto" w:sz="4"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ind w:right="-105"/>
              <w:jc w:val="center"/>
              <w:rPr>
                <w:rFonts w:ascii="宋体" w:hAnsi="宋体"/>
                <w:bCs/>
                <w:kern w:val="0"/>
                <w:sz w:val="24"/>
              </w:rPr>
            </w:pPr>
            <w:r>
              <w:rPr>
                <w:rFonts w:hint="eastAsia" w:ascii="宋体" w:hAnsi="宋体"/>
                <w:bCs/>
                <w:kern w:val="0"/>
                <w:sz w:val="24"/>
              </w:rPr>
              <w:t>报废处理</w:t>
            </w:r>
          </w:p>
          <w:p>
            <w:pPr>
              <w:spacing w:line="360" w:lineRule="auto"/>
              <w:ind w:right="-105"/>
              <w:jc w:val="center"/>
              <w:rPr>
                <w:rFonts w:ascii="宋体" w:hAnsi="宋体"/>
                <w:bCs/>
                <w:kern w:val="0"/>
                <w:sz w:val="24"/>
              </w:rPr>
            </w:pPr>
            <w:r>
              <w:rPr>
                <w:rFonts w:hint="eastAsia" w:ascii="宋体" w:hAnsi="宋体"/>
                <w:bCs/>
                <w:kern w:val="0"/>
                <w:sz w:val="24"/>
              </w:rPr>
              <w:t>办法</w:t>
            </w:r>
          </w:p>
        </w:tc>
        <w:tc>
          <w:tcPr>
            <w:tcW w:w="7087" w:type="dxa"/>
            <w:gridSpan w:val="4"/>
            <w:tcBorders>
              <w:top w:val="single" w:color="auto" w:sz="4"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sz w:val="24"/>
              </w:rPr>
            </w:pPr>
            <w:r>
              <w:rPr>
                <w:rFonts w:hint="eastAsia" w:ascii="宋体" w:hAnsi="宋体"/>
                <w:kern w:val="0"/>
                <w:sz w:val="24"/>
              </w:rPr>
              <w:t>经办人签字</w:t>
            </w:r>
          </w:p>
        </w:tc>
        <w:tc>
          <w:tcPr>
            <w:tcW w:w="2408" w:type="dxa"/>
            <w:tcBorders>
              <w:top w:val="single" w:color="auto" w:sz="6" w:space="0"/>
              <w:left w:val="single" w:color="auto" w:sz="6" w:space="0"/>
              <w:bottom w:val="single" w:color="auto" w:sz="6" w:space="0"/>
              <w:right w:val="single" w:color="auto" w:sz="6" w:space="0"/>
            </w:tcBorders>
            <w:vAlign w:val="center"/>
          </w:tcPr>
          <w:p>
            <w:pPr>
              <w:spacing w:line="360" w:lineRule="auto"/>
              <w:ind w:left="-103" w:leftChars="-49" w:right="-105" w:firstLine="480" w:firstLineChars="200"/>
              <w:jc w:val="center"/>
              <w:rPr>
                <w:rFonts w:ascii="宋体" w:hAnsi="宋体"/>
                <w:bCs/>
                <w:sz w:val="24"/>
              </w:rPr>
            </w:pPr>
          </w:p>
          <w:p>
            <w:pPr>
              <w:spacing w:line="360" w:lineRule="auto"/>
              <w:ind w:left="-103" w:leftChars="-49" w:right="-105" w:firstLine="480" w:firstLineChars="200"/>
              <w:jc w:val="center"/>
              <w:rPr>
                <w:rFonts w:ascii="宋体" w:hAnsi="宋体"/>
                <w:bCs/>
                <w:sz w:val="24"/>
              </w:rPr>
            </w:pPr>
          </w:p>
        </w:tc>
        <w:tc>
          <w:tcPr>
            <w:tcW w:w="1701" w:type="dxa"/>
            <w:gridSpan w:val="2"/>
            <w:tcBorders>
              <w:top w:val="single" w:color="auto" w:sz="6" w:space="0"/>
              <w:left w:val="single" w:color="auto" w:sz="6" w:space="0"/>
              <w:bottom w:val="single" w:color="auto" w:sz="6" w:space="0"/>
              <w:right w:val="single" w:color="auto" w:sz="6" w:space="0"/>
            </w:tcBorders>
            <w:vAlign w:val="center"/>
          </w:tcPr>
          <w:p>
            <w:pPr>
              <w:spacing w:line="360" w:lineRule="auto"/>
              <w:ind w:right="-105"/>
              <w:jc w:val="center"/>
              <w:rPr>
                <w:rFonts w:ascii="宋体" w:hAnsi="宋体"/>
                <w:bCs/>
                <w:sz w:val="24"/>
              </w:rPr>
            </w:pPr>
            <w:r>
              <w:rPr>
                <w:rFonts w:hint="eastAsia" w:ascii="宋体" w:hAnsi="宋体"/>
                <w:sz w:val="24"/>
              </w:rPr>
              <w:t>申请时间</w:t>
            </w:r>
          </w:p>
        </w:tc>
        <w:tc>
          <w:tcPr>
            <w:tcW w:w="2978" w:type="dxa"/>
            <w:tcBorders>
              <w:top w:val="single" w:color="auto" w:sz="6"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kern w:val="0"/>
                <w:sz w:val="24"/>
              </w:rPr>
            </w:pPr>
            <w:r>
              <w:rPr>
                <w:rFonts w:hint="eastAsia" w:ascii="宋体" w:hAnsi="宋体"/>
                <w:kern w:val="0"/>
                <w:sz w:val="24"/>
              </w:rPr>
              <w:t>基金会</w:t>
            </w:r>
          </w:p>
          <w:p>
            <w:pPr>
              <w:spacing w:line="360" w:lineRule="auto"/>
              <w:jc w:val="center"/>
              <w:rPr>
                <w:rFonts w:ascii="宋体" w:hAnsi="宋体"/>
                <w:kern w:val="0"/>
                <w:sz w:val="24"/>
              </w:rPr>
            </w:pPr>
            <w:r>
              <w:rPr>
                <w:rFonts w:hint="eastAsia" w:ascii="宋体" w:hAnsi="宋体"/>
                <w:kern w:val="0"/>
                <w:sz w:val="24"/>
              </w:rPr>
              <w:t>主管领导意见</w:t>
            </w:r>
          </w:p>
        </w:tc>
        <w:tc>
          <w:tcPr>
            <w:tcW w:w="7087" w:type="dxa"/>
            <w:gridSpan w:val="4"/>
            <w:tcBorders>
              <w:top w:val="single" w:color="auto" w:sz="6" w:space="0"/>
              <w:left w:val="single" w:color="auto" w:sz="6" w:space="0"/>
              <w:bottom w:val="single" w:color="auto" w:sz="6" w:space="0"/>
              <w:right w:val="single" w:color="auto" w:sz="4" w:space="0"/>
            </w:tcBorders>
            <w:vAlign w:val="center"/>
          </w:tcPr>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p>
            <w:pPr>
              <w:spacing w:line="360" w:lineRule="auto"/>
              <w:ind w:right="-105" w:firstLine="480" w:firstLineChars="200"/>
              <w:jc w:val="center"/>
              <w:rPr>
                <w:rFonts w:ascii="宋体" w:hAnsi="宋体"/>
                <w:bCs/>
                <w:sz w:val="24"/>
              </w:rPr>
            </w:pPr>
          </w:p>
        </w:tc>
      </w:tr>
    </w:tbl>
    <w:p>
      <w:pPr>
        <w:spacing w:line="360" w:lineRule="auto"/>
        <w:outlineLvl w:val="1"/>
        <w:rPr>
          <w:rFonts w:hint="eastAsia" w:asciiTheme="minorEastAsia" w:hAnsiTheme="minorEastAsia"/>
          <w:sz w:val="24"/>
          <w:szCs w:val="24"/>
        </w:rPr>
      </w:pPr>
      <w:bookmarkStart w:id="75" w:name="_Toc403829211"/>
    </w:p>
    <w:p>
      <w:pPr>
        <w:spacing w:line="360" w:lineRule="auto"/>
        <w:outlineLvl w:val="1"/>
        <w:rPr>
          <w:rFonts w:hint="eastAsia" w:asciiTheme="minorEastAsia" w:hAnsiTheme="minorEastAsia"/>
          <w:sz w:val="24"/>
          <w:szCs w:val="24"/>
        </w:rPr>
      </w:pPr>
    </w:p>
    <w:p>
      <w:pPr>
        <w:spacing w:line="360" w:lineRule="auto"/>
        <w:outlineLvl w:val="1"/>
        <w:rPr>
          <w:rFonts w:hint="eastAsia" w:asciiTheme="minorEastAsia" w:hAnsiTheme="minorEastAsia"/>
          <w:sz w:val="24"/>
          <w:szCs w:val="24"/>
        </w:rPr>
      </w:pPr>
    </w:p>
    <w:p>
      <w:pPr>
        <w:spacing w:line="360" w:lineRule="auto"/>
        <w:outlineLvl w:val="1"/>
        <w:rPr>
          <w:rFonts w:hint="eastAsia" w:asciiTheme="minorEastAsia" w:hAnsiTheme="minorEastAsia"/>
          <w:sz w:val="24"/>
          <w:szCs w:val="24"/>
        </w:rPr>
      </w:pPr>
    </w:p>
    <w:p>
      <w:pPr>
        <w:spacing w:line="360" w:lineRule="auto"/>
        <w:outlineLvl w:val="1"/>
        <w:rPr>
          <w:rFonts w:hint="eastAsia" w:asciiTheme="minorEastAsia" w:hAnsiTheme="minorEastAsia"/>
          <w:sz w:val="24"/>
          <w:szCs w:val="24"/>
        </w:rPr>
      </w:pPr>
    </w:p>
    <w:p>
      <w:pPr>
        <w:spacing w:line="360" w:lineRule="auto"/>
        <w:outlineLvl w:val="1"/>
        <w:rPr>
          <w:rFonts w:hint="eastAsia" w:asciiTheme="minorEastAsia" w:hAnsiTheme="minorEastAsia"/>
          <w:sz w:val="24"/>
          <w:szCs w:val="24"/>
        </w:rPr>
      </w:pPr>
    </w:p>
    <w:p>
      <w:pPr>
        <w:spacing w:line="360" w:lineRule="auto"/>
        <w:outlineLvl w:val="1"/>
        <w:rPr>
          <w:rFonts w:hint="eastAsia" w:asciiTheme="minorEastAsia" w:hAnsiTheme="minorEastAsia"/>
          <w:sz w:val="24"/>
          <w:szCs w:val="24"/>
        </w:rPr>
      </w:pPr>
    </w:p>
    <w:p>
      <w:pPr>
        <w:spacing w:line="360" w:lineRule="auto"/>
        <w:outlineLvl w:val="1"/>
        <w:rPr>
          <w:rFonts w:hint="eastAsia" w:asciiTheme="minorEastAsia" w:hAnsiTheme="minorEastAsia"/>
          <w:sz w:val="24"/>
          <w:szCs w:val="24"/>
        </w:rPr>
      </w:pPr>
    </w:p>
    <w:p>
      <w:pPr>
        <w:spacing w:line="360" w:lineRule="auto"/>
        <w:outlineLvl w:val="1"/>
        <w:rPr>
          <w:rFonts w:asciiTheme="minorEastAsia" w:hAnsiTheme="minorEastAsia"/>
          <w:sz w:val="24"/>
          <w:szCs w:val="24"/>
        </w:rPr>
      </w:pPr>
      <w:bookmarkStart w:id="76" w:name="_Toc7321"/>
      <w:r>
        <w:rPr>
          <w:rFonts w:hint="eastAsia" w:asciiTheme="minorEastAsia" w:hAnsiTheme="minorEastAsia"/>
          <w:sz w:val="24"/>
          <w:szCs w:val="24"/>
        </w:rPr>
        <w:t>附件9-1：《会议纪要表》</w:t>
      </w:r>
      <w:bookmarkEnd w:id="75"/>
      <w:bookmarkEnd w:id="76"/>
    </w:p>
    <w:p>
      <w:pPr>
        <w:ind w:firstLine="560" w:firstLineChars="200"/>
        <w:jc w:val="center"/>
        <w:rPr>
          <w:rFonts w:ascii="微软雅黑" w:hAnsi="微软雅黑" w:eastAsia="微软雅黑" w:cs="Arial"/>
          <w:b/>
          <w:bCs/>
          <w:kern w:val="0"/>
          <w:sz w:val="28"/>
          <w:szCs w:val="28"/>
        </w:rPr>
      </w:pPr>
      <w:r>
        <w:rPr>
          <w:rFonts w:hint="eastAsia" w:ascii="微软雅黑" w:hAnsi="微软雅黑" w:eastAsia="微软雅黑" w:cs="Arial"/>
          <w:b/>
          <w:bCs/>
          <w:kern w:val="0"/>
          <w:sz w:val="28"/>
          <w:szCs w:val="28"/>
          <w:lang w:eastAsia="zh-CN"/>
        </w:rPr>
        <w:t>北京天地文化发展</w:t>
      </w:r>
      <w:r>
        <w:rPr>
          <w:rFonts w:hint="eastAsia" w:ascii="微软雅黑" w:hAnsi="微软雅黑" w:eastAsia="微软雅黑" w:cs="Arial"/>
          <w:b/>
          <w:bCs/>
          <w:kern w:val="0"/>
          <w:sz w:val="28"/>
          <w:szCs w:val="28"/>
        </w:rPr>
        <w:t>基金会</w:t>
      </w:r>
      <w:r>
        <w:rPr>
          <w:rFonts w:ascii="微软雅黑" w:hAnsi="微软雅黑" w:eastAsia="微软雅黑" w:cs="Arial"/>
          <w:b/>
          <w:bCs/>
          <w:kern w:val="0"/>
          <w:sz w:val="28"/>
          <w:szCs w:val="28"/>
        </w:rPr>
        <w:t>会议纪要</w:t>
      </w:r>
    </w:p>
    <w:tbl>
      <w:tblPr>
        <w:tblStyle w:val="9"/>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237"/>
        <w:gridCol w:w="1700"/>
        <w:gridCol w:w="226"/>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
                <w:bCs/>
                <w:sz w:val="24"/>
              </w:rPr>
            </w:pPr>
            <w:r>
              <w:rPr>
                <w:rFonts w:hint="eastAsia" w:ascii="宋体" w:hAnsi="宋体"/>
                <w:b/>
                <w:bCs/>
                <w:kern w:val="0"/>
                <w:sz w:val="24"/>
              </w:rPr>
              <w:t>会议名称/主题</w:t>
            </w:r>
          </w:p>
        </w:tc>
        <w:tc>
          <w:tcPr>
            <w:tcW w:w="6663" w:type="dxa"/>
            <w:gridSpan w:val="4"/>
            <w:tcBorders>
              <w:top w:val="single" w:color="auto" w:sz="6" w:space="0"/>
              <w:left w:val="single" w:color="auto" w:sz="6" w:space="0"/>
              <w:bottom w:val="single" w:color="auto" w:sz="4" w:space="0"/>
              <w:right w:val="single" w:color="auto" w:sz="4" w:space="0"/>
            </w:tcBorders>
            <w:vAlign w:val="center"/>
          </w:tcPr>
          <w:p>
            <w:pPr>
              <w:spacing w:line="360" w:lineRule="auto"/>
              <w:ind w:right="-10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single" w:color="auto" w:sz="6" w:space="0"/>
              <w:left w:val="single" w:color="auto" w:sz="4" w:space="0"/>
              <w:bottom w:val="single" w:color="auto" w:sz="6" w:space="0"/>
              <w:right w:val="single" w:color="auto" w:sz="6" w:space="0"/>
            </w:tcBorders>
          </w:tcPr>
          <w:p>
            <w:pPr>
              <w:spacing w:line="360" w:lineRule="auto"/>
              <w:ind w:left="-105" w:leftChars="-50" w:right="-108"/>
              <w:jc w:val="center"/>
              <w:rPr>
                <w:rFonts w:ascii="宋体" w:hAnsi="宋体"/>
                <w:b/>
                <w:bCs/>
                <w:sz w:val="24"/>
              </w:rPr>
            </w:pPr>
            <w:r>
              <w:rPr>
                <w:rFonts w:hint="eastAsia" w:ascii="宋体" w:hAnsi="宋体"/>
                <w:b/>
                <w:bCs/>
                <w:sz w:val="24"/>
              </w:rPr>
              <w:t>会议类型</w:t>
            </w:r>
          </w:p>
        </w:tc>
        <w:tc>
          <w:tcPr>
            <w:tcW w:w="6663" w:type="dxa"/>
            <w:gridSpan w:val="4"/>
            <w:tcBorders>
              <w:top w:val="single" w:color="auto" w:sz="6" w:space="0"/>
              <w:left w:val="single" w:color="auto" w:sz="6" w:space="0"/>
              <w:bottom w:val="single" w:color="auto" w:sz="4" w:space="0"/>
              <w:right w:val="single" w:color="auto" w:sz="4" w:space="0"/>
            </w:tcBorders>
            <w:vAlign w:val="center"/>
          </w:tcPr>
          <w:p>
            <w:pPr>
              <w:spacing w:line="360" w:lineRule="auto"/>
              <w:ind w:right="-108"/>
              <w:jc w:val="center"/>
              <w:rPr>
                <w:rFonts w:ascii="宋体" w:hAnsi="宋体"/>
                <w:bCs/>
                <w:sz w:val="24"/>
              </w:rPr>
            </w:pPr>
            <w:r>
              <w:rPr>
                <w:rFonts w:hint="eastAsia" w:ascii="宋体" w:hAnsi="宋体"/>
                <w:bCs/>
                <w:sz w:val="24"/>
              </w:rPr>
              <w:t>○法定会议       ○运作管理会议     ○分享交流会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
                <w:bCs/>
                <w:sz w:val="24"/>
              </w:rPr>
            </w:pPr>
            <w:r>
              <w:rPr>
                <w:rFonts w:ascii="宋体" w:hAnsi="宋体"/>
                <w:b/>
                <w:bCs/>
                <w:kern w:val="0"/>
                <w:sz w:val="24"/>
              </w:rPr>
              <w:t>会议时间</w:t>
            </w:r>
          </w:p>
        </w:tc>
        <w:tc>
          <w:tcPr>
            <w:tcW w:w="2237" w:type="dxa"/>
            <w:tcBorders>
              <w:top w:val="single" w:color="auto" w:sz="4" w:space="0"/>
              <w:left w:val="single" w:color="auto" w:sz="6" w:space="0"/>
              <w:bottom w:val="single" w:color="auto" w:sz="6" w:space="0"/>
              <w:right w:val="single" w:color="auto" w:sz="6" w:space="0"/>
            </w:tcBorders>
          </w:tcPr>
          <w:p>
            <w:pPr>
              <w:spacing w:line="360" w:lineRule="auto"/>
              <w:ind w:left="-103" w:leftChars="-49" w:right="-105"/>
              <w:jc w:val="center"/>
              <w:rPr>
                <w:rFonts w:ascii="宋体" w:hAnsi="宋体"/>
                <w:bCs/>
                <w:sz w:val="24"/>
              </w:rPr>
            </w:pPr>
          </w:p>
        </w:tc>
        <w:tc>
          <w:tcPr>
            <w:tcW w:w="1700" w:type="dxa"/>
            <w:tcBorders>
              <w:top w:val="single" w:color="auto" w:sz="4" w:space="0"/>
              <w:left w:val="single" w:color="auto" w:sz="6" w:space="0"/>
              <w:bottom w:val="single" w:color="auto" w:sz="6" w:space="0"/>
              <w:right w:val="single" w:color="auto" w:sz="6" w:space="0"/>
            </w:tcBorders>
          </w:tcPr>
          <w:p>
            <w:pPr>
              <w:spacing w:line="360" w:lineRule="auto"/>
              <w:ind w:right="-105"/>
              <w:jc w:val="center"/>
              <w:rPr>
                <w:rFonts w:ascii="宋体" w:hAnsi="宋体"/>
                <w:b/>
                <w:bCs/>
                <w:sz w:val="24"/>
              </w:rPr>
            </w:pPr>
            <w:r>
              <w:rPr>
                <w:rFonts w:ascii="宋体" w:hAnsi="宋体"/>
                <w:b/>
                <w:bCs/>
                <w:sz w:val="24"/>
              </w:rPr>
              <w:t>会议地点</w:t>
            </w:r>
          </w:p>
        </w:tc>
        <w:tc>
          <w:tcPr>
            <w:tcW w:w="2726" w:type="dxa"/>
            <w:gridSpan w:val="2"/>
            <w:tcBorders>
              <w:top w:val="single" w:color="auto" w:sz="4" w:space="0"/>
              <w:left w:val="single" w:color="auto" w:sz="6" w:space="0"/>
              <w:bottom w:val="single" w:color="auto" w:sz="6" w:space="0"/>
              <w:right w:val="single" w:color="auto" w:sz="4" w:space="0"/>
            </w:tcBorders>
          </w:tcPr>
          <w:p>
            <w:pPr>
              <w:spacing w:line="360" w:lineRule="auto"/>
              <w:ind w:right="-105"/>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
                <w:bCs/>
                <w:kern w:val="0"/>
                <w:sz w:val="24"/>
              </w:rPr>
            </w:pPr>
            <w:r>
              <w:rPr>
                <w:rFonts w:hint="eastAsia" w:ascii="宋体" w:hAnsi="宋体"/>
                <w:b/>
                <w:bCs/>
                <w:sz w:val="24"/>
              </w:rPr>
              <w:t>参与人员</w:t>
            </w:r>
          </w:p>
        </w:tc>
        <w:tc>
          <w:tcPr>
            <w:tcW w:w="6663" w:type="dxa"/>
            <w:gridSpan w:val="4"/>
            <w:tcBorders>
              <w:top w:val="single" w:color="auto" w:sz="4" w:space="0"/>
              <w:left w:val="single" w:color="auto" w:sz="6" w:space="0"/>
              <w:bottom w:val="single" w:color="auto" w:sz="6" w:space="0"/>
              <w:right w:val="single" w:color="auto" w:sz="4" w:space="0"/>
            </w:tcBorders>
          </w:tcPr>
          <w:p>
            <w:pPr>
              <w:spacing w:line="360" w:lineRule="auto"/>
              <w:ind w:right="-105"/>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Borders>
              <w:top w:val="single" w:color="auto" w:sz="6" w:space="0"/>
              <w:left w:val="single" w:color="auto" w:sz="4" w:space="0"/>
              <w:bottom w:val="single" w:color="auto" w:sz="6" w:space="0"/>
              <w:right w:val="single" w:color="auto" w:sz="6" w:space="0"/>
            </w:tcBorders>
          </w:tcPr>
          <w:p>
            <w:pPr>
              <w:spacing w:line="360" w:lineRule="auto"/>
              <w:jc w:val="center"/>
              <w:rPr>
                <w:rFonts w:ascii="宋体" w:hAnsi="宋体"/>
                <w:b/>
                <w:sz w:val="24"/>
              </w:rPr>
            </w:pPr>
            <w:r>
              <w:rPr>
                <w:rFonts w:hint="eastAsia" w:ascii="宋体" w:hAnsi="宋体"/>
                <w:b/>
                <w:kern w:val="0"/>
                <w:sz w:val="24"/>
              </w:rPr>
              <w:t>会议主持人</w:t>
            </w:r>
          </w:p>
        </w:tc>
        <w:tc>
          <w:tcPr>
            <w:tcW w:w="2237" w:type="dxa"/>
            <w:tcBorders>
              <w:top w:val="single" w:color="auto" w:sz="6" w:space="0"/>
              <w:left w:val="single" w:color="auto" w:sz="6" w:space="0"/>
              <w:bottom w:val="single" w:color="auto" w:sz="6" w:space="0"/>
              <w:right w:val="single" w:color="auto" w:sz="6" w:space="0"/>
            </w:tcBorders>
          </w:tcPr>
          <w:p>
            <w:pPr>
              <w:spacing w:line="360" w:lineRule="auto"/>
              <w:ind w:left="-103" w:leftChars="-49" w:right="-105"/>
              <w:jc w:val="center"/>
              <w:rPr>
                <w:rFonts w:ascii="宋体" w:hAnsi="宋体"/>
                <w:bCs/>
                <w:sz w:val="24"/>
              </w:rPr>
            </w:pPr>
          </w:p>
        </w:tc>
        <w:tc>
          <w:tcPr>
            <w:tcW w:w="1700" w:type="dxa"/>
            <w:tcBorders>
              <w:top w:val="single" w:color="auto" w:sz="6" w:space="0"/>
              <w:left w:val="single" w:color="auto" w:sz="6" w:space="0"/>
              <w:bottom w:val="single" w:color="auto" w:sz="6" w:space="0"/>
              <w:right w:val="single" w:color="auto" w:sz="6" w:space="0"/>
            </w:tcBorders>
          </w:tcPr>
          <w:p>
            <w:pPr>
              <w:spacing w:line="360" w:lineRule="auto"/>
              <w:ind w:right="-105"/>
              <w:jc w:val="center"/>
              <w:rPr>
                <w:rFonts w:ascii="宋体" w:hAnsi="宋体"/>
                <w:b/>
                <w:bCs/>
                <w:sz w:val="24"/>
              </w:rPr>
            </w:pPr>
            <w:r>
              <w:rPr>
                <w:rFonts w:ascii="宋体" w:hAnsi="宋体"/>
                <w:b/>
                <w:sz w:val="24"/>
              </w:rPr>
              <w:t xml:space="preserve">记 录 </w:t>
            </w:r>
            <w:r>
              <w:rPr>
                <w:rFonts w:hint="eastAsia" w:ascii="宋体" w:hAnsi="宋体"/>
                <w:b/>
                <w:sz w:val="24"/>
              </w:rPr>
              <w:t>人</w:t>
            </w:r>
          </w:p>
        </w:tc>
        <w:tc>
          <w:tcPr>
            <w:tcW w:w="2726" w:type="dxa"/>
            <w:gridSpan w:val="2"/>
            <w:tcBorders>
              <w:top w:val="single" w:color="auto" w:sz="6" w:space="0"/>
              <w:left w:val="single" w:color="auto" w:sz="6" w:space="0"/>
              <w:bottom w:val="single" w:color="auto" w:sz="6" w:space="0"/>
              <w:right w:val="single" w:color="auto" w:sz="4" w:space="0"/>
            </w:tcBorders>
          </w:tcPr>
          <w:p>
            <w:pPr>
              <w:spacing w:line="360" w:lineRule="auto"/>
              <w:ind w:right="-105"/>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843" w:type="dxa"/>
            <w:vMerge w:val="restart"/>
            <w:tcBorders>
              <w:top w:val="single" w:color="auto" w:sz="6" w:space="0"/>
              <w:left w:val="single" w:color="auto" w:sz="4" w:space="0"/>
              <w:right w:val="single" w:color="auto" w:sz="6" w:space="0"/>
            </w:tcBorders>
            <w:vAlign w:val="center"/>
          </w:tcPr>
          <w:p>
            <w:pPr>
              <w:snapToGrid w:val="0"/>
              <w:spacing w:line="360" w:lineRule="auto"/>
              <w:ind w:right="-108"/>
              <w:rPr>
                <w:rFonts w:ascii="宋体" w:hAnsi="宋体"/>
                <w:b/>
                <w:sz w:val="24"/>
              </w:rPr>
            </w:pPr>
            <w:r>
              <w:rPr>
                <w:rFonts w:ascii="宋体" w:hAnsi="宋体"/>
                <w:b/>
                <w:sz w:val="24"/>
              </w:rPr>
              <w:t>会议纪要</w:t>
            </w:r>
          </w:p>
        </w:tc>
        <w:tc>
          <w:tcPr>
            <w:tcW w:w="3937" w:type="dxa"/>
            <w:gridSpan w:val="2"/>
            <w:tcBorders>
              <w:top w:val="single" w:color="auto" w:sz="6" w:space="0"/>
              <w:left w:val="single" w:color="auto" w:sz="6" w:space="0"/>
              <w:bottom w:val="single" w:color="auto" w:sz="4" w:space="0"/>
              <w:right w:val="single" w:color="auto" w:sz="4" w:space="0"/>
            </w:tcBorders>
          </w:tcPr>
          <w:p>
            <w:pPr>
              <w:spacing w:line="360" w:lineRule="auto"/>
              <w:ind w:right="318"/>
              <w:jc w:val="center"/>
              <w:rPr>
                <w:rFonts w:ascii="宋体" w:hAnsi="宋体"/>
                <w:bCs/>
                <w:sz w:val="24"/>
              </w:rPr>
            </w:pPr>
            <w:r>
              <w:rPr>
                <w:rFonts w:hint="eastAsia" w:ascii="宋体" w:hAnsi="宋体"/>
                <w:bCs/>
                <w:sz w:val="24"/>
              </w:rPr>
              <w:t>会议主题</w:t>
            </w:r>
          </w:p>
        </w:tc>
        <w:tc>
          <w:tcPr>
            <w:tcW w:w="2726" w:type="dxa"/>
            <w:gridSpan w:val="2"/>
            <w:tcBorders>
              <w:top w:val="single" w:color="auto" w:sz="6" w:space="0"/>
              <w:left w:val="single" w:color="auto" w:sz="4" w:space="0"/>
              <w:bottom w:val="single" w:color="auto" w:sz="4" w:space="0"/>
              <w:right w:val="single" w:color="auto" w:sz="4" w:space="0"/>
            </w:tcBorders>
          </w:tcPr>
          <w:p>
            <w:pPr>
              <w:spacing w:line="360" w:lineRule="auto"/>
              <w:ind w:right="318"/>
              <w:jc w:val="center"/>
              <w:rPr>
                <w:rFonts w:ascii="宋体" w:hAnsi="宋体"/>
                <w:bCs/>
                <w:sz w:val="24"/>
              </w:rPr>
            </w:pPr>
            <w:r>
              <w:rPr>
                <w:rFonts w:hint="eastAsia" w:ascii="宋体" w:hAnsi="宋体"/>
                <w:bCs/>
                <w:sz w:val="24"/>
              </w:rPr>
              <w:t>点评/评论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jc w:val="center"/>
        </w:trPr>
        <w:tc>
          <w:tcPr>
            <w:tcW w:w="1843" w:type="dxa"/>
            <w:vMerge w:val="continue"/>
            <w:tcBorders>
              <w:left w:val="single" w:color="auto" w:sz="4" w:space="0"/>
              <w:right w:val="single" w:color="auto" w:sz="6" w:space="0"/>
            </w:tcBorders>
            <w:vAlign w:val="center"/>
          </w:tcPr>
          <w:p>
            <w:pPr>
              <w:snapToGrid w:val="0"/>
              <w:spacing w:line="360" w:lineRule="auto"/>
              <w:ind w:right="-108"/>
              <w:rPr>
                <w:rFonts w:ascii="宋体" w:hAnsi="宋体"/>
                <w:b/>
                <w:sz w:val="24"/>
              </w:rPr>
            </w:pPr>
          </w:p>
        </w:tc>
        <w:tc>
          <w:tcPr>
            <w:tcW w:w="3937" w:type="dxa"/>
            <w:gridSpan w:val="2"/>
            <w:tcBorders>
              <w:top w:val="single" w:color="auto" w:sz="4" w:space="0"/>
              <w:left w:val="single" w:color="auto" w:sz="6" w:space="0"/>
              <w:bottom w:val="single" w:color="auto" w:sz="4" w:space="0"/>
              <w:right w:val="single" w:color="auto" w:sz="4" w:space="0"/>
            </w:tcBorders>
          </w:tcPr>
          <w:p>
            <w:pPr>
              <w:spacing w:line="360" w:lineRule="auto"/>
              <w:ind w:right="318"/>
              <w:rPr>
                <w:rFonts w:ascii="宋体" w:hAnsi="宋体"/>
                <w:bCs/>
                <w:sz w:val="24"/>
              </w:rPr>
            </w:pPr>
          </w:p>
        </w:tc>
        <w:tc>
          <w:tcPr>
            <w:tcW w:w="2726" w:type="dxa"/>
            <w:gridSpan w:val="2"/>
            <w:tcBorders>
              <w:top w:val="single" w:color="auto" w:sz="4" w:space="0"/>
              <w:left w:val="single" w:color="auto" w:sz="4" w:space="0"/>
              <w:bottom w:val="single" w:color="auto" w:sz="4" w:space="0"/>
              <w:right w:val="single" w:color="auto" w:sz="4" w:space="0"/>
            </w:tcBorders>
          </w:tcPr>
          <w:p>
            <w:pPr>
              <w:spacing w:line="360" w:lineRule="auto"/>
              <w:ind w:left="174" w:leftChars="83" w:right="318"/>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843" w:type="dxa"/>
            <w:vMerge w:val="continue"/>
            <w:tcBorders>
              <w:left w:val="single" w:color="auto" w:sz="4" w:space="0"/>
              <w:right w:val="single" w:color="auto" w:sz="6" w:space="0"/>
            </w:tcBorders>
            <w:vAlign w:val="center"/>
          </w:tcPr>
          <w:p>
            <w:pPr>
              <w:snapToGrid w:val="0"/>
              <w:spacing w:line="360" w:lineRule="auto"/>
              <w:ind w:right="-108"/>
              <w:rPr>
                <w:rFonts w:ascii="宋体" w:hAnsi="宋体"/>
                <w:b/>
                <w:sz w:val="24"/>
              </w:rPr>
            </w:pPr>
          </w:p>
        </w:tc>
        <w:tc>
          <w:tcPr>
            <w:tcW w:w="3937" w:type="dxa"/>
            <w:gridSpan w:val="2"/>
            <w:tcBorders>
              <w:top w:val="single" w:color="auto" w:sz="4" w:space="0"/>
              <w:left w:val="single" w:color="auto" w:sz="6" w:space="0"/>
              <w:bottom w:val="single" w:color="auto" w:sz="4" w:space="0"/>
              <w:right w:val="single" w:color="auto" w:sz="4" w:space="0"/>
            </w:tcBorders>
          </w:tcPr>
          <w:p>
            <w:pPr>
              <w:spacing w:line="360" w:lineRule="auto"/>
              <w:ind w:right="318"/>
              <w:rPr>
                <w:rFonts w:ascii="宋体" w:hAnsi="宋体"/>
                <w:bCs/>
                <w:sz w:val="24"/>
              </w:rPr>
            </w:pPr>
          </w:p>
        </w:tc>
        <w:tc>
          <w:tcPr>
            <w:tcW w:w="2726" w:type="dxa"/>
            <w:gridSpan w:val="2"/>
            <w:tcBorders>
              <w:top w:val="single" w:color="auto" w:sz="4" w:space="0"/>
              <w:left w:val="single" w:color="auto" w:sz="4" w:space="0"/>
              <w:bottom w:val="single" w:color="auto" w:sz="4" w:space="0"/>
              <w:right w:val="single" w:color="auto" w:sz="4" w:space="0"/>
            </w:tcBorders>
          </w:tcPr>
          <w:p>
            <w:pPr>
              <w:spacing w:line="360" w:lineRule="auto"/>
              <w:ind w:left="174" w:leftChars="83" w:right="318"/>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jc w:val="center"/>
        </w:trPr>
        <w:tc>
          <w:tcPr>
            <w:tcW w:w="1843" w:type="dxa"/>
            <w:vMerge w:val="continue"/>
            <w:tcBorders>
              <w:left w:val="single" w:color="auto" w:sz="4" w:space="0"/>
              <w:bottom w:val="single" w:color="auto" w:sz="6" w:space="0"/>
              <w:right w:val="single" w:color="auto" w:sz="6" w:space="0"/>
            </w:tcBorders>
            <w:vAlign w:val="center"/>
          </w:tcPr>
          <w:p>
            <w:pPr>
              <w:snapToGrid w:val="0"/>
              <w:spacing w:line="360" w:lineRule="auto"/>
              <w:ind w:right="-108"/>
              <w:rPr>
                <w:rFonts w:ascii="宋体" w:hAnsi="宋体"/>
                <w:b/>
                <w:sz w:val="24"/>
              </w:rPr>
            </w:pPr>
          </w:p>
        </w:tc>
        <w:tc>
          <w:tcPr>
            <w:tcW w:w="3937" w:type="dxa"/>
            <w:gridSpan w:val="2"/>
            <w:tcBorders>
              <w:top w:val="single" w:color="auto" w:sz="4" w:space="0"/>
              <w:left w:val="single" w:color="auto" w:sz="6" w:space="0"/>
              <w:bottom w:val="single" w:color="auto" w:sz="6" w:space="0"/>
              <w:right w:val="single" w:color="auto" w:sz="4" w:space="0"/>
            </w:tcBorders>
          </w:tcPr>
          <w:p>
            <w:pPr>
              <w:spacing w:line="360" w:lineRule="auto"/>
              <w:ind w:right="318"/>
              <w:rPr>
                <w:rFonts w:ascii="宋体" w:hAnsi="宋体"/>
                <w:bCs/>
                <w:sz w:val="24"/>
              </w:rPr>
            </w:pPr>
          </w:p>
        </w:tc>
        <w:tc>
          <w:tcPr>
            <w:tcW w:w="2726" w:type="dxa"/>
            <w:gridSpan w:val="2"/>
            <w:tcBorders>
              <w:top w:val="single" w:color="auto" w:sz="4" w:space="0"/>
              <w:left w:val="single" w:color="auto" w:sz="4" w:space="0"/>
              <w:bottom w:val="single" w:color="auto" w:sz="6" w:space="0"/>
              <w:right w:val="single" w:color="auto" w:sz="4" w:space="0"/>
            </w:tcBorders>
          </w:tcPr>
          <w:p>
            <w:pPr>
              <w:spacing w:line="360" w:lineRule="auto"/>
              <w:ind w:left="174" w:leftChars="83" w:right="318"/>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1843" w:type="dxa"/>
            <w:vMerge w:val="restart"/>
            <w:tcBorders>
              <w:top w:val="single" w:color="auto" w:sz="6" w:space="0"/>
              <w:left w:val="single" w:color="auto" w:sz="4" w:space="0"/>
              <w:right w:val="single" w:color="auto" w:sz="6" w:space="0"/>
            </w:tcBorders>
            <w:vAlign w:val="center"/>
          </w:tcPr>
          <w:p>
            <w:pPr>
              <w:snapToGrid w:val="0"/>
              <w:spacing w:line="360" w:lineRule="auto"/>
              <w:ind w:right="-108"/>
              <w:jc w:val="center"/>
              <w:rPr>
                <w:rFonts w:ascii="宋体" w:hAnsi="宋体"/>
                <w:b/>
                <w:sz w:val="24"/>
              </w:rPr>
            </w:pPr>
            <w:r>
              <w:rPr>
                <w:rFonts w:hint="eastAsia" w:ascii="宋体" w:hAnsi="宋体"/>
                <w:b/>
                <w:sz w:val="24"/>
              </w:rPr>
              <w:t>会议要点</w:t>
            </w:r>
          </w:p>
          <w:p>
            <w:pPr>
              <w:snapToGrid w:val="0"/>
              <w:spacing w:line="360" w:lineRule="auto"/>
              <w:ind w:right="-108"/>
              <w:jc w:val="center"/>
              <w:rPr>
                <w:rFonts w:ascii="宋体" w:hAnsi="宋体"/>
                <w:b/>
                <w:sz w:val="24"/>
              </w:rPr>
            </w:pPr>
            <w:r>
              <w:rPr>
                <w:rFonts w:hint="eastAsia" w:ascii="宋体" w:hAnsi="宋体"/>
                <w:b/>
                <w:sz w:val="24"/>
              </w:rPr>
              <w:t>小结</w:t>
            </w:r>
          </w:p>
        </w:tc>
        <w:tc>
          <w:tcPr>
            <w:tcW w:w="6663" w:type="dxa"/>
            <w:gridSpan w:val="4"/>
            <w:tcBorders>
              <w:top w:val="single" w:color="auto" w:sz="6" w:space="0"/>
              <w:left w:val="single" w:color="auto" w:sz="6" w:space="0"/>
              <w:bottom w:val="single" w:color="auto" w:sz="4" w:space="0"/>
              <w:right w:val="single" w:color="auto" w:sz="4" w:space="0"/>
            </w:tcBorders>
          </w:tcPr>
          <w:p>
            <w:pPr>
              <w:spacing w:line="360" w:lineRule="auto"/>
              <w:ind w:right="318"/>
              <w:rPr>
                <w:rFonts w:ascii="宋体" w:hAnsi="宋体"/>
                <w:bCs/>
                <w:sz w:val="24"/>
              </w:rPr>
            </w:pPr>
            <w:r>
              <w:rPr>
                <w:rFonts w:hint="eastAsia" w:ascii="宋体" w:hAnsi="宋体"/>
                <w:bCs/>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843" w:type="dxa"/>
            <w:vMerge w:val="continue"/>
            <w:tcBorders>
              <w:left w:val="single" w:color="auto" w:sz="4" w:space="0"/>
              <w:right w:val="single" w:color="auto" w:sz="6" w:space="0"/>
            </w:tcBorders>
            <w:vAlign w:val="center"/>
          </w:tcPr>
          <w:p>
            <w:pPr>
              <w:snapToGrid w:val="0"/>
              <w:spacing w:line="360" w:lineRule="auto"/>
              <w:ind w:right="-108"/>
              <w:rPr>
                <w:rFonts w:ascii="宋体" w:hAnsi="宋体"/>
                <w:b/>
                <w:sz w:val="24"/>
              </w:rPr>
            </w:pPr>
          </w:p>
        </w:tc>
        <w:tc>
          <w:tcPr>
            <w:tcW w:w="6663" w:type="dxa"/>
            <w:gridSpan w:val="4"/>
            <w:tcBorders>
              <w:top w:val="single" w:color="auto" w:sz="4" w:space="0"/>
              <w:left w:val="single" w:color="auto" w:sz="6" w:space="0"/>
              <w:bottom w:val="single" w:color="auto" w:sz="4" w:space="0"/>
              <w:right w:val="single" w:color="auto" w:sz="4" w:space="0"/>
            </w:tcBorders>
          </w:tcPr>
          <w:p>
            <w:pPr>
              <w:spacing w:line="360" w:lineRule="auto"/>
              <w:ind w:right="318"/>
              <w:rPr>
                <w:rFonts w:ascii="宋体" w:hAnsi="宋体"/>
                <w:bCs/>
                <w:sz w:val="24"/>
              </w:rPr>
            </w:pPr>
            <w:r>
              <w:rPr>
                <w:rFonts w:hint="eastAsia" w:ascii="宋体" w:hAnsi="宋体"/>
                <w:bCs/>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1843" w:type="dxa"/>
            <w:vMerge w:val="continue"/>
            <w:tcBorders>
              <w:left w:val="single" w:color="auto" w:sz="4" w:space="0"/>
              <w:right w:val="single" w:color="auto" w:sz="6" w:space="0"/>
            </w:tcBorders>
            <w:vAlign w:val="center"/>
          </w:tcPr>
          <w:p>
            <w:pPr>
              <w:snapToGrid w:val="0"/>
              <w:spacing w:line="360" w:lineRule="auto"/>
              <w:ind w:right="-108"/>
              <w:rPr>
                <w:rFonts w:ascii="宋体" w:hAnsi="宋体"/>
                <w:b/>
                <w:sz w:val="24"/>
              </w:rPr>
            </w:pPr>
          </w:p>
        </w:tc>
        <w:tc>
          <w:tcPr>
            <w:tcW w:w="6663" w:type="dxa"/>
            <w:gridSpan w:val="4"/>
            <w:tcBorders>
              <w:top w:val="single" w:color="auto" w:sz="4" w:space="0"/>
              <w:left w:val="single" w:color="auto" w:sz="6" w:space="0"/>
              <w:bottom w:val="single" w:color="auto" w:sz="4" w:space="0"/>
              <w:right w:val="single" w:color="auto" w:sz="4" w:space="0"/>
            </w:tcBorders>
          </w:tcPr>
          <w:p>
            <w:pPr>
              <w:spacing w:line="360" w:lineRule="auto"/>
              <w:ind w:right="318"/>
              <w:rPr>
                <w:rFonts w:ascii="宋体" w:hAnsi="宋体"/>
                <w:bCs/>
                <w:sz w:val="24"/>
              </w:rPr>
            </w:pPr>
            <w:r>
              <w:rPr>
                <w:rFonts w:hint="eastAsia" w:ascii="宋体" w:hAnsi="宋体"/>
                <w:bCs/>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1843" w:type="dxa"/>
            <w:vMerge w:val="continue"/>
            <w:tcBorders>
              <w:left w:val="single" w:color="auto" w:sz="4" w:space="0"/>
              <w:right w:val="single" w:color="auto" w:sz="6" w:space="0"/>
            </w:tcBorders>
            <w:vAlign w:val="center"/>
          </w:tcPr>
          <w:p>
            <w:pPr>
              <w:snapToGrid w:val="0"/>
              <w:spacing w:line="360" w:lineRule="auto"/>
              <w:ind w:right="-108"/>
              <w:rPr>
                <w:rFonts w:ascii="宋体" w:hAnsi="宋体"/>
                <w:b/>
                <w:sz w:val="24"/>
              </w:rPr>
            </w:pPr>
          </w:p>
        </w:tc>
        <w:tc>
          <w:tcPr>
            <w:tcW w:w="6663" w:type="dxa"/>
            <w:gridSpan w:val="4"/>
            <w:tcBorders>
              <w:top w:val="single" w:color="auto" w:sz="4" w:space="0"/>
              <w:left w:val="single" w:color="auto" w:sz="6" w:space="0"/>
              <w:bottom w:val="single" w:color="auto" w:sz="4" w:space="0"/>
              <w:right w:val="single" w:color="auto" w:sz="4" w:space="0"/>
            </w:tcBorders>
          </w:tcPr>
          <w:p>
            <w:pPr>
              <w:spacing w:line="360" w:lineRule="auto"/>
              <w:ind w:right="318"/>
              <w:rPr>
                <w:rFonts w:ascii="宋体" w:hAnsi="宋体"/>
                <w:bCs/>
                <w:sz w:val="24"/>
              </w:rPr>
            </w:pPr>
            <w:r>
              <w:rPr>
                <w:rFonts w:hint="eastAsia" w:ascii="宋体" w:hAnsi="宋体"/>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843" w:type="dxa"/>
            <w:vMerge w:val="continue"/>
            <w:tcBorders>
              <w:left w:val="single" w:color="auto" w:sz="4" w:space="0"/>
              <w:right w:val="single" w:color="auto" w:sz="6" w:space="0"/>
            </w:tcBorders>
            <w:vAlign w:val="center"/>
          </w:tcPr>
          <w:p>
            <w:pPr>
              <w:snapToGrid w:val="0"/>
              <w:spacing w:line="360" w:lineRule="auto"/>
              <w:ind w:right="-108"/>
              <w:rPr>
                <w:rFonts w:ascii="宋体" w:hAnsi="宋体"/>
                <w:b/>
                <w:sz w:val="24"/>
              </w:rPr>
            </w:pPr>
          </w:p>
        </w:tc>
        <w:tc>
          <w:tcPr>
            <w:tcW w:w="6663" w:type="dxa"/>
            <w:gridSpan w:val="4"/>
            <w:tcBorders>
              <w:top w:val="single" w:color="auto" w:sz="4" w:space="0"/>
              <w:left w:val="single" w:color="auto" w:sz="6" w:space="0"/>
              <w:bottom w:val="single" w:color="auto" w:sz="4" w:space="0"/>
              <w:right w:val="single" w:color="auto" w:sz="4" w:space="0"/>
            </w:tcBorders>
          </w:tcPr>
          <w:p>
            <w:pPr>
              <w:spacing w:line="360" w:lineRule="auto"/>
              <w:ind w:right="318"/>
              <w:rPr>
                <w:rFonts w:ascii="宋体" w:hAnsi="宋体"/>
                <w:bCs/>
                <w:sz w:val="24"/>
              </w:rPr>
            </w:pPr>
            <w:r>
              <w:rPr>
                <w:rFonts w:hint="eastAsia" w:ascii="宋体" w:hAnsi="宋体"/>
                <w:bCs/>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jc w:val="center"/>
        </w:trPr>
        <w:tc>
          <w:tcPr>
            <w:tcW w:w="1843" w:type="dxa"/>
            <w:vMerge w:val="restart"/>
            <w:tcBorders>
              <w:top w:val="single" w:color="auto" w:sz="6" w:space="0"/>
              <w:left w:val="single" w:color="auto" w:sz="4" w:space="0"/>
              <w:right w:val="single" w:color="auto" w:sz="6" w:space="0"/>
            </w:tcBorders>
            <w:vAlign w:val="center"/>
          </w:tcPr>
          <w:p>
            <w:pPr>
              <w:snapToGrid w:val="0"/>
              <w:spacing w:line="360" w:lineRule="auto"/>
              <w:ind w:right="-108"/>
              <w:jc w:val="center"/>
              <w:rPr>
                <w:rFonts w:ascii="宋体" w:hAnsi="宋体"/>
                <w:b/>
                <w:sz w:val="24"/>
              </w:rPr>
            </w:pPr>
            <w:r>
              <w:rPr>
                <w:rFonts w:hint="eastAsia" w:ascii="宋体" w:hAnsi="宋体"/>
                <w:b/>
                <w:sz w:val="24"/>
              </w:rPr>
              <w:t>下一步工作</w:t>
            </w:r>
          </w:p>
          <w:p>
            <w:pPr>
              <w:snapToGrid w:val="0"/>
              <w:spacing w:line="360" w:lineRule="auto"/>
              <w:ind w:right="-108"/>
              <w:jc w:val="center"/>
              <w:rPr>
                <w:rFonts w:ascii="宋体" w:hAnsi="宋体"/>
                <w:b/>
                <w:sz w:val="24"/>
              </w:rPr>
            </w:pPr>
            <w:r>
              <w:rPr>
                <w:rFonts w:hint="eastAsia" w:ascii="宋体" w:hAnsi="宋体"/>
                <w:b/>
                <w:sz w:val="24"/>
              </w:rPr>
              <w:t>及责任人</w:t>
            </w:r>
          </w:p>
        </w:tc>
        <w:tc>
          <w:tcPr>
            <w:tcW w:w="4163" w:type="dxa"/>
            <w:gridSpan w:val="3"/>
            <w:tcBorders>
              <w:top w:val="single" w:color="auto" w:sz="6" w:space="0"/>
              <w:left w:val="single" w:color="auto" w:sz="6" w:space="0"/>
              <w:bottom w:val="single" w:color="auto" w:sz="4" w:space="0"/>
              <w:right w:val="single" w:color="auto" w:sz="4" w:space="0"/>
            </w:tcBorders>
          </w:tcPr>
          <w:p>
            <w:pPr>
              <w:spacing w:line="360" w:lineRule="auto"/>
              <w:ind w:right="318"/>
              <w:jc w:val="center"/>
              <w:rPr>
                <w:rFonts w:ascii="宋体" w:hAnsi="宋体"/>
                <w:bCs/>
                <w:sz w:val="24"/>
              </w:rPr>
            </w:pPr>
            <w:r>
              <w:rPr>
                <w:rFonts w:hint="eastAsia" w:ascii="宋体" w:hAnsi="宋体"/>
                <w:bCs/>
                <w:sz w:val="24"/>
              </w:rPr>
              <w:t>下一步工作</w:t>
            </w:r>
          </w:p>
        </w:tc>
        <w:tc>
          <w:tcPr>
            <w:tcW w:w="2500" w:type="dxa"/>
            <w:tcBorders>
              <w:top w:val="single" w:color="auto" w:sz="6" w:space="0"/>
              <w:left w:val="single" w:color="auto" w:sz="4" w:space="0"/>
              <w:bottom w:val="single" w:color="auto" w:sz="4" w:space="0"/>
              <w:right w:val="single" w:color="auto" w:sz="4" w:space="0"/>
            </w:tcBorders>
          </w:tcPr>
          <w:p>
            <w:pPr>
              <w:spacing w:line="360" w:lineRule="auto"/>
              <w:ind w:left="174" w:leftChars="83" w:right="318"/>
              <w:jc w:val="center"/>
              <w:rPr>
                <w:rFonts w:ascii="宋体" w:hAnsi="宋体"/>
                <w:bCs/>
                <w:sz w:val="24"/>
              </w:rPr>
            </w:pPr>
            <w:r>
              <w:rPr>
                <w:rFonts w:hint="eastAsia" w:ascii="宋体" w:hAnsi="宋体"/>
                <w:bCs/>
                <w:sz w:val="24"/>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843" w:type="dxa"/>
            <w:vMerge w:val="continue"/>
            <w:tcBorders>
              <w:left w:val="single" w:color="auto" w:sz="4" w:space="0"/>
              <w:right w:val="single" w:color="auto" w:sz="6" w:space="0"/>
            </w:tcBorders>
            <w:vAlign w:val="center"/>
          </w:tcPr>
          <w:p>
            <w:pPr>
              <w:snapToGrid w:val="0"/>
              <w:spacing w:line="360" w:lineRule="auto"/>
              <w:ind w:right="-108"/>
              <w:jc w:val="center"/>
              <w:rPr>
                <w:rFonts w:ascii="宋体" w:hAnsi="宋体"/>
                <w:sz w:val="24"/>
              </w:rPr>
            </w:pPr>
          </w:p>
        </w:tc>
        <w:tc>
          <w:tcPr>
            <w:tcW w:w="4163" w:type="dxa"/>
            <w:gridSpan w:val="3"/>
            <w:tcBorders>
              <w:top w:val="single" w:color="auto" w:sz="4" w:space="0"/>
              <w:left w:val="single" w:color="auto" w:sz="6" w:space="0"/>
              <w:bottom w:val="single" w:color="auto" w:sz="4" w:space="0"/>
              <w:right w:val="single" w:color="auto" w:sz="4" w:space="0"/>
            </w:tcBorders>
          </w:tcPr>
          <w:p>
            <w:pPr>
              <w:spacing w:line="360" w:lineRule="auto"/>
              <w:ind w:right="318"/>
              <w:rPr>
                <w:rFonts w:ascii="宋体" w:hAnsi="宋体"/>
                <w:bCs/>
                <w:sz w:val="24"/>
              </w:rPr>
            </w:pPr>
            <w:r>
              <w:rPr>
                <w:rFonts w:hint="eastAsia" w:ascii="宋体" w:hAnsi="宋体"/>
                <w:bCs/>
                <w:sz w:val="24"/>
              </w:rPr>
              <w:t>1.</w:t>
            </w:r>
          </w:p>
        </w:tc>
        <w:tc>
          <w:tcPr>
            <w:tcW w:w="2500" w:type="dxa"/>
            <w:tcBorders>
              <w:top w:val="single" w:color="auto" w:sz="4" w:space="0"/>
              <w:left w:val="single" w:color="auto" w:sz="4" w:space="0"/>
              <w:bottom w:val="single" w:color="auto" w:sz="4" w:space="0"/>
              <w:right w:val="single" w:color="auto" w:sz="4" w:space="0"/>
            </w:tcBorders>
          </w:tcPr>
          <w:p>
            <w:pPr>
              <w:spacing w:line="360" w:lineRule="auto"/>
              <w:ind w:left="174" w:leftChars="83" w:right="318"/>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843" w:type="dxa"/>
            <w:vMerge w:val="continue"/>
            <w:tcBorders>
              <w:left w:val="single" w:color="auto" w:sz="4" w:space="0"/>
              <w:right w:val="single" w:color="auto" w:sz="6" w:space="0"/>
            </w:tcBorders>
            <w:vAlign w:val="center"/>
          </w:tcPr>
          <w:p>
            <w:pPr>
              <w:snapToGrid w:val="0"/>
              <w:spacing w:line="360" w:lineRule="auto"/>
              <w:ind w:right="-108"/>
              <w:jc w:val="center"/>
              <w:rPr>
                <w:rFonts w:ascii="宋体" w:hAnsi="宋体"/>
                <w:sz w:val="24"/>
              </w:rPr>
            </w:pPr>
          </w:p>
        </w:tc>
        <w:tc>
          <w:tcPr>
            <w:tcW w:w="4163" w:type="dxa"/>
            <w:gridSpan w:val="3"/>
            <w:tcBorders>
              <w:top w:val="single" w:color="auto" w:sz="4" w:space="0"/>
              <w:left w:val="single" w:color="auto" w:sz="6" w:space="0"/>
              <w:bottom w:val="single" w:color="auto" w:sz="4" w:space="0"/>
              <w:right w:val="single" w:color="auto" w:sz="4" w:space="0"/>
            </w:tcBorders>
          </w:tcPr>
          <w:p>
            <w:pPr>
              <w:spacing w:line="360" w:lineRule="auto"/>
              <w:ind w:right="318"/>
              <w:rPr>
                <w:rFonts w:ascii="宋体" w:hAnsi="宋体"/>
                <w:bCs/>
                <w:sz w:val="24"/>
              </w:rPr>
            </w:pPr>
            <w:r>
              <w:rPr>
                <w:rFonts w:hint="eastAsia" w:ascii="宋体" w:hAnsi="宋体"/>
                <w:bCs/>
                <w:sz w:val="24"/>
              </w:rPr>
              <w:t>2.</w:t>
            </w:r>
          </w:p>
        </w:tc>
        <w:tc>
          <w:tcPr>
            <w:tcW w:w="2500" w:type="dxa"/>
            <w:tcBorders>
              <w:top w:val="single" w:color="auto" w:sz="4" w:space="0"/>
              <w:left w:val="single" w:color="auto" w:sz="4" w:space="0"/>
              <w:bottom w:val="single" w:color="auto" w:sz="4" w:space="0"/>
              <w:right w:val="single" w:color="auto" w:sz="4" w:space="0"/>
            </w:tcBorders>
          </w:tcPr>
          <w:p>
            <w:pPr>
              <w:spacing w:line="360" w:lineRule="auto"/>
              <w:ind w:left="174" w:leftChars="83" w:right="318"/>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1843" w:type="dxa"/>
            <w:vMerge w:val="continue"/>
            <w:tcBorders>
              <w:left w:val="single" w:color="auto" w:sz="4" w:space="0"/>
              <w:right w:val="single" w:color="auto" w:sz="6" w:space="0"/>
            </w:tcBorders>
            <w:vAlign w:val="center"/>
          </w:tcPr>
          <w:p>
            <w:pPr>
              <w:snapToGrid w:val="0"/>
              <w:spacing w:line="360" w:lineRule="auto"/>
              <w:ind w:right="-108"/>
              <w:jc w:val="center"/>
              <w:rPr>
                <w:rFonts w:ascii="宋体" w:hAnsi="宋体"/>
                <w:sz w:val="24"/>
              </w:rPr>
            </w:pPr>
          </w:p>
        </w:tc>
        <w:tc>
          <w:tcPr>
            <w:tcW w:w="4163" w:type="dxa"/>
            <w:gridSpan w:val="3"/>
            <w:tcBorders>
              <w:top w:val="single" w:color="auto" w:sz="4" w:space="0"/>
              <w:left w:val="single" w:color="auto" w:sz="6" w:space="0"/>
              <w:bottom w:val="single" w:color="auto" w:sz="4" w:space="0"/>
              <w:right w:val="single" w:color="auto" w:sz="4" w:space="0"/>
            </w:tcBorders>
          </w:tcPr>
          <w:p>
            <w:pPr>
              <w:spacing w:line="360" w:lineRule="auto"/>
              <w:ind w:right="318"/>
              <w:rPr>
                <w:rFonts w:ascii="宋体" w:hAnsi="宋体"/>
                <w:bCs/>
                <w:sz w:val="24"/>
              </w:rPr>
            </w:pPr>
            <w:r>
              <w:rPr>
                <w:rFonts w:hint="eastAsia" w:ascii="宋体" w:hAnsi="宋体"/>
                <w:bCs/>
                <w:sz w:val="24"/>
              </w:rPr>
              <w:t>3.</w:t>
            </w:r>
          </w:p>
        </w:tc>
        <w:tc>
          <w:tcPr>
            <w:tcW w:w="2500" w:type="dxa"/>
            <w:tcBorders>
              <w:top w:val="single" w:color="auto" w:sz="4" w:space="0"/>
              <w:left w:val="single" w:color="auto" w:sz="4" w:space="0"/>
              <w:bottom w:val="single" w:color="auto" w:sz="4" w:space="0"/>
              <w:right w:val="single" w:color="auto" w:sz="4" w:space="0"/>
            </w:tcBorders>
          </w:tcPr>
          <w:p>
            <w:pPr>
              <w:spacing w:line="360" w:lineRule="auto"/>
              <w:ind w:left="174" w:leftChars="83" w:right="318"/>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843" w:type="dxa"/>
            <w:vMerge w:val="continue"/>
            <w:tcBorders>
              <w:left w:val="single" w:color="auto" w:sz="4" w:space="0"/>
              <w:right w:val="single" w:color="auto" w:sz="6" w:space="0"/>
            </w:tcBorders>
            <w:vAlign w:val="center"/>
          </w:tcPr>
          <w:p>
            <w:pPr>
              <w:snapToGrid w:val="0"/>
              <w:spacing w:line="360" w:lineRule="auto"/>
              <w:ind w:right="-108"/>
              <w:jc w:val="center"/>
              <w:rPr>
                <w:rFonts w:ascii="宋体" w:hAnsi="宋体"/>
                <w:sz w:val="24"/>
              </w:rPr>
            </w:pPr>
          </w:p>
        </w:tc>
        <w:tc>
          <w:tcPr>
            <w:tcW w:w="4163" w:type="dxa"/>
            <w:gridSpan w:val="3"/>
            <w:tcBorders>
              <w:top w:val="single" w:color="auto" w:sz="4" w:space="0"/>
              <w:left w:val="single" w:color="auto" w:sz="6" w:space="0"/>
              <w:bottom w:val="single" w:color="auto" w:sz="4" w:space="0"/>
              <w:right w:val="single" w:color="auto" w:sz="4" w:space="0"/>
            </w:tcBorders>
          </w:tcPr>
          <w:p>
            <w:pPr>
              <w:spacing w:line="360" w:lineRule="auto"/>
              <w:ind w:right="318"/>
              <w:rPr>
                <w:rFonts w:ascii="宋体" w:hAnsi="宋体"/>
                <w:bCs/>
                <w:sz w:val="24"/>
              </w:rPr>
            </w:pPr>
            <w:r>
              <w:rPr>
                <w:rFonts w:hint="eastAsia" w:ascii="宋体" w:hAnsi="宋体"/>
                <w:bCs/>
                <w:sz w:val="24"/>
              </w:rPr>
              <w:t>4.</w:t>
            </w:r>
          </w:p>
        </w:tc>
        <w:tc>
          <w:tcPr>
            <w:tcW w:w="2500" w:type="dxa"/>
            <w:tcBorders>
              <w:top w:val="single" w:color="auto" w:sz="4" w:space="0"/>
              <w:left w:val="single" w:color="auto" w:sz="4" w:space="0"/>
              <w:bottom w:val="single" w:color="auto" w:sz="4" w:space="0"/>
              <w:right w:val="single" w:color="auto" w:sz="4" w:space="0"/>
            </w:tcBorders>
          </w:tcPr>
          <w:p>
            <w:pPr>
              <w:spacing w:line="360" w:lineRule="auto"/>
              <w:ind w:left="174" w:leftChars="83" w:right="318"/>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1843" w:type="dxa"/>
            <w:vMerge w:val="continue"/>
            <w:tcBorders>
              <w:left w:val="single" w:color="auto" w:sz="4" w:space="0"/>
              <w:bottom w:val="single" w:color="auto" w:sz="6" w:space="0"/>
              <w:right w:val="single" w:color="auto" w:sz="6" w:space="0"/>
            </w:tcBorders>
            <w:vAlign w:val="center"/>
          </w:tcPr>
          <w:p>
            <w:pPr>
              <w:snapToGrid w:val="0"/>
              <w:spacing w:line="360" w:lineRule="auto"/>
              <w:ind w:right="-108"/>
              <w:jc w:val="center"/>
              <w:rPr>
                <w:rFonts w:ascii="宋体" w:hAnsi="宋体"/>
                <w:sz w:val="24"/>
              </w:rPr>
            </w:pPr>
          </w:p>
        </w:tc>
        <w:tc>
          <w:tcPr>
            <w:tcW w:w="4163" w:type="dxa"/>
            <w:gridSpan w:val="3"/>
            <w:tcBorders>
              <w:top w:val="single" w:color="auto" w:sz="4" w:space="0"/>
              <w:left w:val="single" w:color="auto" w:sz="6" w:space="0"/>
              <w:bottom w:val="single" w:color="auto" w:sz="6" w:space="0"/>
              <w:right w:val="single" w:color="auto" w:sz="4" w:space="0"/>
            </w:tcBorders>
          </w:tcPr>
          <w:p>
            <w:pPr>
              <w:spacing w:line="360" w:lineRule="auto"/>
              <w:ind w:right="318"/>
              <w:rPr>
                <w:rFonts w:ascii="宋体" w:hAnsi="宋体"/>
                <w:bCs/>
                <w:sz w:val="24"/>
              </w:rPr>
            </w:pPr>
            <w:r>
              <w:rPr>
                <w:rFonts w:hint="eastAsia" w:ascii="宋体" w:hAnsi="宋体"/>
                <w:bCs/>
                <w:sz w:val="24"/>
              </w:rPr>
              <w:t>5.</w:t>
            </w:r>
          </w:p>
        </w:tc>
        <w:tc>
          <w:tcPr>
            <w:tcW w:w="2500" w:type="dxa"/>
            <w:tcBorders>
              <w:top w:val="single" w:color="auto" w:sz="4" w:space="0"/>
              <w:left w:val="single" w:color="auto" w:sz="4" w:space="0"/>
              <w:bottom w:val="single" w:color="auto" w:sz="6" w:space="0"/>
              <w:right w:val="single" w:color="auto" w:sz="4" w:space="0"/>
            </w:tcBorders>
          </w:tcPr>
          <w:p>
            <w:pPr>
              <w:spacing w:line="360" w:lineRule="auto"/>
              <w:ind w:left="174" w:leftChars="83" w:right="318"/>
              <w:rPr>
                <w:rFonts w:ascii="宋体" w:hAnsi="宋体"/>
                <w:bCs/>
                <w:sz w:val="24"/>
              </w:rPr>
            </w:pPr>
          </w:p>
        </w:tc>
      </w:tr>
    </w:tbl>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outlineLvl w:val="1"/>
        <w:rPr>
          <w:rFonts w:asciiTheme="minorEastAsia" w:hAnsiTheme="minorEastAsia"/>
          <w:sz w:val="24"/>
          <w:szCs w:val="24"/>
        </w:rPr>
      </w:pPr>
      <w:bookmarkStart w:id="77" w:name="_Toc12842"/>
      <w:bookmarkStart w:id="78" w:name="_Toc403829212"/>
      <w:r>
        <w:rPr>
          <w:rFonts w:hint="eastAsia" w:asciiTheme="minorEastAsia" w:hAnsiTheme="minorEastAsia"/>
          <w:sz w:val="24"/>
          <w:szCs w:val="24"/>
        </w:rPr>
        <w:t>附件10-1：《出差申请表》</w:t>
      </w:r>
      <w:bookmarkEnd w:id="77"/>
      <w:bookmarkEnd w:id="78"/>
    </w:p>
    <w:p>
      <w:pPr>
        <w:ind w:firstLine="560" w:firstLineChars="200"/>
        <w:jc w:val="center"/>
        <w:rPr>
          <w:rFonts w:ascii="微软雅黑" w:hAnsi="微软雅黑" w:eastAsia="微软雅黑" w:cs="Arial"/>
          <w:b/>
          <w:bCs/>
          <w:kern w:val="0"/>
          <w:sz w:val="28"/>
          <w:szCs w:val="28"/>
        </w:rPr>
      </w:pPr>
      <w:r>
        <w:rPr>
          <w:rFonts w:hint="eastAsia" w:ascii="微软雅黑" w:hAnsi="微软雅黑" w:eastAsia="微软雅黑" w:cs="Arial"/>
          <w:b/>
          <w:bCs/>
          <w:kern w:val="0"/>
          <w:sz w:val="28"/>
          <w:szCs w:val="28"/>
          <w:lang w:eastAsia="zh-CN"/>
        </w:rPr>
        <w:t>北京天地文化发展</w:t>
      </w:r>
      <w:r>
        <w:rPr>
          <w:rFonts w:hint="eastAsia" w:ascii="微软雅黑" w:hAnsi="微软雅黑" w:eastAsia="微软雅黑" w:cs="Arial"/>
          <w:b/>
          <w:bCs/>
          <w:kern w:val="0"/>
          <w:sz w:val="28"/>
          <w:szCs w:val="28"/>
        </w:rPr>
        <w:t>基金会出差申请表</w:t>
      </w:r>
    </w:p>
    <w:tbl>
      <w:tblPr>
        <w:tblStyle w:val="9"/>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shd w:val="clear" w:color="auto" w:fill="BFBFBF"/>
          </w:tcPr>
          <w:p>
            <w:pPr>
              <w:spacing w:line="276" w:lineRule="auto"/>
              <w:jc w:val="left"/>
              <w:rPr>
                <w:rFonts w:ascii="宋体"/>
                <w:b/>
                <w:bCs/>
                <w:sz w:val="24"/>
                <w:szCs w:val="24"/>
              </w:rPr>
            </w:pPr>
            <w:r>
              <w:rPr>
                <w:rFonts w:hint="eastAsia" w:ascii="宋体"/>
                <w:b/>
                <w:bCs/>
                <w:sz w:val="24"/>
                <w:szCs w:val="24"/>
              </w:rPr>
              <w:t>1.基本信息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pStyle w:val="16"/>
              <w:numPr>
                <w:ilvl w:val="1"/>
                <w:numId w:val="3"/>
              </w:numPr>
              <w:adjustRightInd/>
              <w:spacing w:line="360" w:lineRule="auto"/>
              <w:ind w:left="0" w:firstLine="0" w:firstLineChars="0"/>
              <w:jc w:val="left"/>
              <w:textAlignment w:val="auto"/>
              <w:rPr>
                <w:rFonts w:ascii="宋体"/>
                <w:bCs/>
                <w:sz w:val="24"/>
                <w:szCs w:val="24"/>
              </w:rPr>
            </w:pPr>
            <w:r>
              <w:rPr>
                <w:rFonts w:hint="eastAsia" w:ascii="宋体"/>
                <w:bCs/>
                <w:sz w:val="24"/>
                <w:szCs w:val="24"/>
              </w:rPr>
              <w:t>出差时间：</w:t>
            </w:r>
          </w:p>
          <w:p>
            <w:pPr>
              <w:pStyle w:val="16"/>
              <w:numPr>
                <w:ilvl w:val="1"/>
                <w:numId w:val="3"/>
              </w:numPr>
              <w:adjustRightInd/>
              <w:spacing w:line="360" w:lineRule="auto"/>
              <w:ind w:left="0" w:firstLine="0" w:firstLineChars="0"/>
              <w:jc w:val="left"/>
              <w:textAlignment w:val="auto"/>
              <w:rPr>
                <w:rFonts w:ascii="宋体"/>
                <w:bCs/>
                <w:sz w:val="24"/>
                <w:szCs w:val="24"/>
                <w:u w:val="single"/>
              </w:rPr>
            </w:pPr>
            <w:r>
              <w:rPr>
                <w:rFonts w:hint="eastAsia" w:ascii="宋体"/>
                <w:bCs/>
                <w:sz w:val="24"/>
                <w:szCs w:val="24"/>
              </w:rPr>
              <w:t>出差地点：</w:t>
            </w:r>
          </w:p>
          <w:p>
            <w:pPr>
              <w:numPr>
                <w:ilvl w:val="1"/>
                <w:numId w:val="3"/>
              </w:numPr>
              <w:spacing w:line="360" w:lineRule="auto"/>
              <w:ind w:left="0" w:firstLine="0"/>
              <w:jc w:val="left"/>
              <w:rPr>
                <w:rFonts w:ascii="宋体"/>
                <w:bCs/>
                <w:sz w:val="24"/>
                <w:szCs w:val="24"/>
              </w:rPr>
            </w:pPr>
            <w:r>
              <w:rPr>
                <w:rFonts w:hint="eastAsia" w:ascii="宋体"/>
                <w:bCs/>
                <w:sz w:val="24"/>
                <w:szCs w:val="24"/>
              </w:rPr>
              <w:t>出差人：</w:t>
            </w:r>
          </w:p>
          <w:p>
            <w:pPr>
              <w:numPr>
                <w:ilvl w:val="1"/>
                <w:numId w:val="3"/>
              </w:numPr>
              <w:spacing w:line="360" w:lineRule="auto"/>
              <w:ind w:left="0" w:firstLine="0"/>
              <w:jc w:val="left"/>
              <w:rPr>
                <w:rFonts w:ascii="宋体"/>
                <w:bCs/>
                <w:sz w:val="24"/>
                <w:szCs w:val="24"/>
              </w:rPr>
            </w:pPr>
            <w:r>
              <w:rPr>
                <w:rFonts w:hint="eastAsia" w:ascii="宋体"/>
                <w:bCs/>
                <w:sz w:val="24"/>
                <w:szCs w:val="24"/>
              </w:rPr>
              <w:t>出差部门：</w:t>
            </w:r>
          </w:p>
          <w:p>
            <w:pPr>
              <w:numPr>
                <w:ilvl w:val="1"/>
                <w:numId w:val="3"/>
              </w:numPr>
              <w:spacing w:line="360" w:lineRule="auto"/>
              <w:ind w:left="0" w:firstLine="0"/>
              <w:jc w:val="left"/>
              <w:rPr>
                <w:rFonts w:ascii="宋体"/>
                <w:bCs/>
                <w:sz w:val="24"/>
                <w:szCs w:val="24"/>
              </w:rPr>
            </w:pPr>
            <w:r>
              <w:rPr>
                <w:rFonts w:hint="eastAsia" w:ascii="宋体"/>
                <w:bCs/>
                <w:sz w:val="24"/>
                <w:szCs w:val="24"/>
              </w:rPr>
              <w:t>出差交通工具：</w:t>
            </w:r>
          </w:p>
          <w:p>
            <w:pPr>
              <w:numPr>
                <w:ilvl w:val="1"/>
                <w:numId w:val="3"/>
              </w:numPr>
              <w:spacing w:line="360" w:lineRule="auto"/>
              <w:ind w:left="0" w:firstLine="0"/>
              <w:jc w:val="left"/>
              <w:rPr>
                <w:rFonts w:ascii="宋体"/>
                <w:bCs/>
                <w:sz w:val="24"/>
                <w:szCs w:val="24"/>
              </w:rPr>
            </w:pPr>
            <w:r>
              <w:rPr>
                <w:rFonts w:hint="eastAsia" w:ascii="宋体"/>
                <w:bCs/>
                <w:sz w:val="24"/>
                <w:szCs w:val="24"/>
              </w:rPr>
              <w:t>出差预借现金：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shd w:val="clear" w:color="auto" w:fill="BFBFBF"/>
          </w:tcPr>
          <w:p>
            <w:pPr>
              <w:spacing w:line="276" w:lineRule="auto"/>
              <w:jc w:val="left"/>
              <w:rPr>
                <w:rFonts w:ascii="宋体"/>
                <w:b/>
                <w:bCs/>
                <w:sz w:val="24"/>
                <w:szCs w:val="24"/>
              </w:rPr>
            </w:pPr>
            <w:r>
              <w:rPr>
                <w:rFonts w:hint="eastAsia" w:ascii="宋体"/>
                <w:b/>
                <w:bCs/>
                <w:sz w:val="24"/>
                <w:szCs w:val="24"/>
              </w:rPr>
              <w:t>2.出差事由与目标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pStyle w:val="8"/>
              <w:rPr>
                <w:b/>
                <w:color w:val="000000"/>
              </w:rPr>
            </w:pPr>
          </w:p>
          <w:p>
            <w:pPr>
              <w:pStyle w:val="8"/>
              <w:rPr>
                <w:b/>
                <w:color w:val="000000"/>
              </w:rPr>
            </w:pPr>
          </w:p>
          <w:p>
            <w:pPr>
              <w:pStyle w:val="8"/>
              <w:rPr>
                <w:b/>
                <w:color w:val="000000"/>
              </w:rPr>
            </w:pPr>
          </w:p>
          <w:p>
            <w:pPr>
              <w:pStyle w:val="8"/>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shd w:val="clear" w:color="auto" w:fill="BEBEBE" w:themeFill="background1" w:themeFillShade="BF"/>
          </w:tcPr>
          <w:p>
            <w:pPr>
              <w:pStyle w:val="8"/>
              <w:rPr>
                <w:b/>
                <w:color w:val="000000"/>
              </w:rPr>
            </w:pPr>
            <w:r>
              <w:rPr>
                <w:rFonts w:hint="eastAsia"/>
                <w:b/>
                <w:color w:val="000000"/>
              </w:rPr>
              <w:t>3. 出差行程安排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pStyle w:val="8"/>
              <w:rPr>
                <w:b/>
                <w:color w:val="000000"/>
              </w:rPr>
            </w:pPr>
          </w:p>
          <w:p>
            <w:pPr>
              <w:pStyle w:val="8"/>
              <w:rPr>
                <w:b/>
                <w:color w:val="000000"/>
              </w:rPr>
            </w:pPr>
          </w:p>
          <w:p>
            <w:pPr>
              <w:pStyle w:val="8"/>
              <w:rPr>
                <w:b/>
                <w:color w:val="000000"/>
              </w:rPr>
            </w:pPr>
          </w:p>
          <w:p>
            <w:pPr>
              <w:pStyle w:val="8"/>
              <w:rPr>
                <w:b/>
                <w:color w:val="000000"/>
              </w:rPr>
            </w:pPr>
          </w:p>
          <w:p>
            <w:pPr>
              <w:pStyle w:val="8"/>
              <w:rPr>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shd w:val="clear" w:color="auto" w:fill="BEBEBE" w:themeFill="background1" w:themeFillShade="BF"/>
          </w:tcPr>
          <w:p>
            <w:pPr>
              <w:pStyle w:val="8"/>
              <w:rPr>
                <w:b/>
                <w:color w:val="000000"/>
              </w:rPr>
            </w:pPr>
            <w:r>
              <w:rPr>
                <w:rFonts w:hint="eastAsia"/>
                <w:b/>
                <w:color w:val="000000"/>
              </w:rPr>
              <w:t>4. 出差审批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pStyle w:val="8"/>
              <w:rPr>
                <w:b/>
                <w:color w:val="000000"/>
              </w:rPr>
            </w:pPr>
          </w:p>
          <w:p>
            <w:pPr>
              <w:pStyle w:val="8"/>
              <w:rPr>
                <w:b/>
                <w:color w:val="000000"/>
              </w:rPr>
            </w:pPr>
          </w:p>
          <w:p>
            <w:pPr>
              <w:pStyle w:val="8"/>
              <w:rPr>
                <w:b/>
                <w:color w:val="000000"/>
              </w:rPr>
            </w:pPr>
          </w:p>
          <w:p>
            <w:pPr>
              <w:pStyle w:val="8"/>
              <w:rPr>
                <w:b/>
                <w:color w:val="000000"/>
              </w:rPr>
            </w:pPr>
          </w:p>
        </w:tc>
      </w:tr>
    </w:tbl>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outlineLvl w:val="1"/>
        <w:rPr>
          <w:rFonts w:asciiTheme="minorEastAsia" w:hAnsiTheme="minorEastAsia"/>
          <w:sz w:val="24"/>
          <w:szCs w:val="24"/>
        </w:rPr>
      </w:pPr>
      <w:bookmarkStart w:id="79" w:name="_Toc403829213"/>
      <w:bookmarkStart w:id="80" w:name="_Toc29179"/>
      <w:r>
        <w:rPr>
          <w:rFonts w:hint="eastAsia" w:asciiTheme="minorEastAsia" w:hAnsiTheme="minorEastAsia"/>
          <w:sz w:val="24"/>
          <w:szCs w:val="24"/>
        </w:rPr>
        <w:t>附件10-2：《出差/活动参与总结报告》</w:t>
      </w:r>
      <w:bookmarkEnd w:id="79"/>
      <w:bookmarkEnd w:id="80"/>
    </w:p>
    <w:p>
      <w:pPr>
        <w:ind w:firstLine="560" w:firstLineChars="200"/>
        <w:jc w:val="center"/>
        <w:rPr>
          <w:rFonts w:ascii="微软雅黑" w:hAnsi="微软雅黑" w:eastAsia="微软雅黑" w:cs="Arial"/>
          <w:b/>
          <w:bCs/>
          <w:kern w:val="0"/>
          <w:sz w:val="28"/>
          <w:szCs w:val="28"/>
        </w:rPr>
      </w:pPr>
      <w:r>
        <w:rPr>
          <w:rFonts w:hint="eastAsia" w:ascii="微软雅黑" w:hAnsi="微软雅黑" w:eastAsia="微软雅黑" w:cs="Arial"/>
          <w:b/>
          <w:bCs/>
          <w:kern w:val="0"/>
          <w:sz w:val="28"/>
          <w:szCs w:val="28"/>
          <w:lang w:eastAsia="zh-CN"/>
        </w:rPr>
        <w:t>北京天地文化发展</w:t>
      </w:r>
      <w:r>
        <w:rPr>
          <w:rFonts w:hint="eastAsia" w:ascii="微软雅黑" w:hAnsi="微软雅黑" w:eastAsia="微软雅黑" w:cs="Arial"/>
          <w:b/>
          <w:bCs/>
          <w:kern w:val="0"/>
          <w:sz w:val="28"/>
          <w:szCs w:val="28"/>
        </w:rPr>
        <w:t>基金会出差</w:t>
      </w:r>
      <w:r>
        <w:rPr>
          <w:rFonts w:ascii="微软雅黑" w:hAnsi="微软雅黑" w:eastAsia="微软雅黑" w:cs="Arial"/>
          <w:b/>
          <w:bCs/>
          <w:kern w:val="0"/>
          <w:sz w:val="28"/>
          <w:szCs w:val="28"/>
        </w:rPr>
        <w:t>/</w:t>
      </w:r>
      <w:r>
        <w:rPr>
          <w:rFonts w:hint="eastAsia" w:ascii="微软雅黑" w:hAnsi="微软雅黑" w:eastAsia="微软雅黑" w:cs="Arial"/>
          <w:b/>
          <w:bCs/>
          <w:kern w:val="0"/>
          <w:sz w:val="28"/>
          <w:szCs w:val="28"/>
        </w:rPr>
        <w:t>活动参与总结报告</w:t>
      </w:r>
    </w:p>
    <w:p>
      <w:pPr>
        <w:pStyle w:val="16"/>
        <w:adjustRightInd/>
        <w:spacing w:line="276" w:lineRule="auto"/>
        <w:ind w:firstLine="0" w:firstLineChars="0"/>
        <w:jc w:val="left"/>
        <w:textAlignment w:val="auto"/>
        <w:rPr>
          <w:rFonts w:ascii="宋体"/>
          <w:b/>
          <w:bCs/>
          <w:sz w:val="28"/>
          <w:szCs w:val="28"/>
        </w:rPr>
      </w:pPr>
      <w:r>
        <w:rPr>
          <w:rFonts w:hint="eastAsia" w:ascii="宋体"/>
          <w:b/>
          <w:bCs/>
          <w:sz w:val="28"/>
          <w:szCs w:val="28"/>
        </w:rPr>
        <w:t>一、基本情况概述</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4" w:type="dxa"/>
            <w:shd w:val="clear" w:color="auto" w:fill="BFBFBF"/>
          </w:tcPr>
          <w:p>
            <w:pPr>
              <w:spacing w:line="276" w:lineRule="auto"/>
              <w:jc w:val="left"/>
              <w:rPr>
                <w:rFonts w:ascii="宋体"/>
                <w:b/>
                <w:bCs/>
              </w:rPr>
            </w:pPr>
            <w:r>
              <w:rPr>
                <w:rFonts w:hint="eastAsia" w:ascii="宋体"/>
                <w:b/>
                <w:bCs/>
              </w:rPr>
              <w:t>1.基本信息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4" w:type="dxa"/>
          </w:tcPr>
          <w:p>
            <w:pPr>
              <w:pStyle w:val="16"/>
              <w:adjustRightInd/>
              <w:spacing w:line="276" w:lineRule="auto"/>
              <w:ind w:firstLine="0" w:firstLineChars="0"/>
              <w:jc w:val="left"/>
              <w:textAlignment w:val="auto"/>
              <w:rPr>
                <w:rFonts w:ascii="宋体"/>
                <w:bCs/>
              </w:rPr>
            </w:pPr>
            <w:r>
              <w:rPr>
                <w:rFonts w:hint="eastAsia" w:ascii="宋体"/>
                <w:bCs/>
              </w:rPr>
              <w:t>1.1名称：</w:t>
            </w:r>
          </w:p>
          <w:p>
            <w:pPr>
              <w:pStyle w:val="16"/>
              <w:adjustRightInd/>
              <w:spacing w:line="276" w:lineRule="auto"/>
              <w:ind w:firstLine="0" w:firstLineChars="0"/>
              <w:jc w:val="left"/>
              <w:textAlignment w:val="auto"/>
              <w:rPr>
                <w:rFonts w:ascii="宋体"/>
                <w:bCs/>
              </w:rPr>
            </w:pPr>
            <w:r>
              <w:rPr>
                <w:rFonts w:hint="eastAsia" w:ascii="宋体"/>
                <w:bCs/>
              </w:rPr>
              <w:t>1.2时间：</w:t>
            </w:r>
          </w:p>
          <w:p>
            <w:pPr>
              <w:pStyle w:val="16"/>
              <w:adjustRightInd/>
              <w:spacing w:line="276" w:lineRule="auto"/>
              <w:ind w:firstLine="0" w:firstLineChars="0"/>
              <w:jc w:val="left"/>
              <w:textAlignment w:val="auto"/>
              <w:rPr>
                <w:rFonts w:ascii="宋体"/>
                <w:bCs/>
                <w:u w:val="single"/>
              </w:rPr>
            </w:pPr>
            <w:r>
              <w:rPr>
                <w:rFonts w:hint="eastAsia" w:ascii="宋体"/>
                <w:bCs/>
              </w:rPr>
              <w:t>1.3地点：</w:t>
            </w:r>
          </w:p>
          <w:p>
            <w:pPr>
              <w:spacing w:line="276" w:lineRule="auto"/>
              <w:jc w:val="left"/>
              <w:rPr>
                <w:rFonts w:ascii="宋体"/>
                <w:bCs/>
              </w:rPr>
            </w:pPr>
            <w:r>
              <w:rPr>
                <w:rFonts w:hint="eastAsia" w:ascii="宋体"/>
                <w:bCs/>
              </w:rPr>
              <w:t>1.4参与人：</w:t>
            </w:r>
          </w:p>
          <w:p>
            <w:pPr>
              <w:spacing w:line="276" w:lineRule="auto"/>
              <w:jc w:val="left"/>
              <w:rPr>
                <w:rFonts w:ascii="宋体"/>
                <w:bCs/>
              </w:rPr>
            </w:pPr>
            <w:r>
              <w:rPr>
                <w:rFonts w:hint="eastAsia" w:ascii="宋体"/>
                <w:bCs/>
              </w:rPr>
              <w:t>1.5撰写人：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4" w:type="dxa"/>
            <w:shd w:val="clear" w:color="auto" w:fill="BFBFBF"/>
          </w:tcPr>
          <w:p>
            <w:pPr>
              <w:spacing w:line="276" w:lineRule="auto"/>
              <w:jc w:val="left"/>
              <w:rPr>
                <w:rFonts w:ascii="宋体"/>
                <w:b/>
                <w:bCs/>
              </w:rPr>
            </w:pPr>
            <w:r>
              <w:rPr>
                <w:rFonts w:ascii="宋体"/>
                <w:b/>
                <w:bCs/>
              </w:rPr>
              <w:t>2.</w:t>
            </w:r>
            <w:r>
              <w:rPr>
                <w:rFonts w:hint="eastAsia" w:ascii="宋体"/>
                <w:b/>
                <w:bCs/>
              </w:rPr>
              <w:t>活动简介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4" w:type="dxa"/>
          </w:tcPr>
          <w:p>
            <w:pPr>
              <w:spacing w:line="360" w:lineRule="auto"/>
              <w:rPr>
                <w:rFonts w:ascii="宋体"/>
                <w:bCs/>
                <w:i/>
              </w:rPr>
            </w:pPr>
          </w:p>
        </w:tc>
      </w:tr>
    </w:tbl>
    <w:p>
      <w:pPr>
        <w:pStyle w:val="16"/>
        <w:adjustRightInd/>
        <w:spacing w:line="276" w:lineRule="auto"/>
        <w:ind w:firstLine="0" w:firstLineChars="0"/>
        <w:jc w:val="left"/>
        <w:textAlignment w:val="auto"/>
        <w:rPr>
          <w:rFonts w:ascii="宋体"/>
          <w:b/>
          <w:bCs/>
          <w:sz w:val="28"/>
          <w:szCs w:val="28"/>
        </w:rPr>
      </w:pPr>
      <w:r>
        <w:rPr>
          <w:rFonts w:hint="eastAsia" w:ascii="宋体"/>
          <w:b/>
          <w:bCs/>
          <w:sz w:val="28"/>
          <w:szCs w:val="28"/>
        </w:rPr>
        <w:t>二、参与目标与期望产出</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8364" w:type="dxa"/>
            <w:shd w:val="clear" w:color="auto" w:fill="BFBFBF"/>
          </w:tcPr>
          <w:p>
            <w:pPr>
              <w:spacing w:line="360" w:lineRule="auto"/>
              <w:rPr>
                <w:rFonts w:ascii="宋体"/>
              </w:rPr>
            </w:pPr>
            <w:r>
              <w:rPr>
                <w:rFonts w:ascii="宋体" w:hAnsi="宋体" w:cs="宋体"/>
                <w:b/>
                <w:bCs/>
              </w:rPr>
              <w:t>1．</w:t>
            </w:r>
            <w:r>
              <w:rPr>
                <w:rFonts w:hint="eastAsia" w:ascii="宋体" w:hAnsi="宋体" w:cs="宋体"/>
                <w:b/>
                <w:bCs/>
              </w:rPr>
              <w:t>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8364" w:type="dxa"/>
          </w:tcPr>
          <w:p>
            <w:pPr>
              <w:spacing w:line="360" w:lineRule="auto"/>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8364" w:type="dxa"/>
            <w:shd w:val="clear" w:color="auto" w:fill="BFBFBF"/>
          </w:tcPr>
          <w:p>
            <w:pPr>
              <w:spacing w:line="360" w:lineRule="auto"/>
              <w:jc w:val="left"/>
              <w:rPr>
                <w:rFonts w:ascii="宋体"/>
                <w:bCs/>
                <w:i/>
              </w:rPr>
            </w:pPr>
            <w:r>
              <w:rPr>
                <w:rFonts w:ascii="宋体" w:hAnsi="宋体" w:cs="宋体"/>
                <w:b/>
                <w:bCs/>
              </w:rPr>
              <w:t>2.</w:t>
            </w:r>
            <w:r>
              <w:rPr>
                <w:rFonts w:hint="eastAsia" w:ascii="宋体" w:hAnsi="宋体" w:cs="宋体"/>
                <w:b/>
                <w:bCs/>
              </w:rPr>
              <w:t>产出</w:t>
            </w:r>
            <w:r>
              <w:rPr>
                <w:rFonts w:ascii="宋体" w:hAnsi="宋体" w:cs="宋体"/>
                <w:b/>
                <w:bCs/>
              </w:rPr>
              <w:t>/结果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364" w:type="dxa"/>
          </w:tcPr>
          <w:p>
            <w:pPr>
              <w:pStyle w:val="16"/>
              <w:spacing w:line="360" w:lineRule="auto"/>
              <w:ind w:firstLine="0" w:firstLineChars="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8364" w:type="dxa"/>
            <w:shd w:val="clear" w:color="auto" w:fill="BFBFBF"/>
          </w:tcPr>
          <w:p>
            <w:pPr>
              <w:spacing w:line="360" w:lineRule="auto"/>
              <w:rPr>
                <w:rFonts w:ascii="宋体"/>
              </w:rPr>
            </w:pPr>
            <w:r>
              <w:rPr>
                <w:rFonts w:ascii="宋体" w:hAnsi="宋体" w:cs="宋体"/>
                <w:b/>
                <w:bCs/>
              </w:rPr>
              <w:t>3.参与前的准备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364" w:type="dxa"/>
          </w:tcPr>
          <w:p>
            <w:pPr>
              <w:spacing w:line="360" w:lineRule="auto"/>
              <w:rPr>
                <w:rFonts w:ascii="宋体" w:hAnsi="宋体" w:cs="宋体"/>
                <w:b/>
                <w:bCs/>
              </w:rPr>
            </w:pPr>
          </w:p>
        </w:tc>
      </w:tr>
    </w:tbl>
    <w:p>
      <w:pPr>
        <w:spacing w:line="276" w:lineRule="auto"/>
        <w:jc w:val="left"/>
        <w:rPr>
          <w:rFonts w:ascii="宋体" w:hAnsi="宋体" w:cs="宋体"/>
          <w:b/>
          <w:bCs/>
          <w:sz w:val="24"/>
          <w:szCs w:val="24"/>
        </w:rPr>
      </w:pPr>
    </w:p>
    <w:p>
      <w:pPr>
        <w:pStyle w:val="16"/>
        <w:adjustRightInd/>
        <w:spacing w:line="276" w:lineRule="auto"/>
        <w:ind w:firstLine="0" w:firstLineChars="0"/>
        <w:jc w:val="left"/>
        <w:textAlignment w:val="auto"/>
        <w:rPr>
          <w:rFonts w:ascii="宋体"/>
          <w:b/>
          <w:bCs/>
          <w:sz w:val="28"/>
          <w:szCs w:val="28"/>
        </w:rPr>
      </w:pPr>
      <w:r>
        <w:rPr>
          <w:rFonts w:hint="eastAsia" w:ascii="宋体"/>
          <w:b/>
          <w:bCs/>
          <w:sz w:val="28"/>
          <w:szCs w:val="28"/>
        </w:rPr>
        <w:t>三、实际情况</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8364" w:type="dxa"/>
            <w:shd w:val="clear" w:color="auto" w:fill="BFBFBF"/>
          </w:tcPr>
          <w:p>
            <w:pPr>
              <w:pStyle w:val="22"/>
              <w:spacing w:line="276" w:lineRule="auto"/>
              <w:ind w:firstLine="0" w:firstLineChars="0"/>
              <w:rPr>
                <w:rFonts w:ascii="宋体" w:hAnsi="宋体" w:cs="宋体"/>
                <w:b/>
              </w:rPr>
            </w:pPr>
            <w:r>
              <w:rPr>
                <w:rFonts w:ascii="宋体" w:hAnsi="宋体" w:cs="宋体"/>
                <w:b/>
              </w:rPr>
              <w:t>1.</w:t>
            </w:r>
            <w:r>
              <w:rPr>
                <w:rFonts w:hint="eastAsia" w:ascii="宋体" w:hAnsi="宋体" w:cs="宋体"/>
                <w:b/>
              </w:rPr>
              <w:t>基本情况概述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8364" w:type="dxa"/>
          </w:tcPr>
          <w:p>
            <w:pPr>
              <w:pStyle w:val="22"/>
              <w:spacing w:line="276" w:lineRule="auto"/>
              <w:ind w:firstLine="0" w:firstLineChars="0"/>
              <w:rPr>
                <w:rFonts w:ascii="宋体" w:cs="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8364" w:type="dxa"/>
            <w:shd w:val="clear" w:color="auto" w:fill="BFBFBF"/>
          </w:tcPr>
          <w:p>
            <w:pPr>
              <w:pStyle w:val="22"/>
              <w:spacing w:line="276" w:lineRule="auto"/>
              <w:ind w:firstLine="0" w:firstLineChars="0"/>
              <w:rPr>
                <w:rFonts w:ascii="宋体" w:hAnsi="宋体" w:cs="宋体"/>
                <w:b/>
                <w:bCs/>
              </w:rPr>
            </w:pPr>
            <w:r>
              <w:rPr>
                <w:rFonts w:ascii="宋体" w:hAnsi="宋体" w:cs="宋体"/>
                <w:b/>
                <w:bCs/>
              </w:rPr>
              <w:t>2.</w:t>
            </w:r>
            <w:r>
              <w:rPr>
                <w:rFonts w:hint="eastAsia" w:ascii="宋体" w:hAnsi="宋体" w:cs="宋体"/>
                <w:b/>
                <w:bCs/>
              </w:rPr>
              <w:t>具体案例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364" w:type="dxa"/>
          </w:tcPr>
          <w:p>
            <w:pPr>
              <w:pStyle w:val="22"/>
              <w:spacing w:line="276" w:lineRule="auto"/>
              <w:ind w:firstLine="0" w:firstLineChars="0"/>
              <w:rPr>
                <w:rFonts w:ascii="宋体" w:hAnsi="宋体" w:cs="宋体"/>
                <w:b/>
                <w:bCs/>
              </w:rPr>
            </w:pPr>
          </w:p>
          <w:p>
            <w:pPr>
              <w:pStyle w:val="22"/>
              <w:spacing w:line="276" w:lineRule="auto"/>
              <w:ind w:firstLine="0" w:firstLineChars="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8364" w:type="dxa"/>
            <w:shd w:val="clear" w:color="auto" w:fill="BFBFBF"/>
          </w:tcPr>
          <w:p>
            <w:pPr>
              <w:pStyle w:val="22"/>
              <w:spacing w:line="276" w:lineRule="auto"/>
              <w:ind w:firstLine="0" w:firstLineChars="0"/>
              <w:rPr>
                <w:rFonts w:ascii="宋体" w:hAnsi="宋体" w:cs="宋体"/>
                <w:b/>
                <w:bCs/>
              </w:rPr>
            </w:pPr>
            <w:r>
              <w:rPr>
                <w:rFonts w:ascii="宋体" w:hAnsi="宋体" w:cs="宋体"/>
                <w:b/>
                <w:bCs/>
              </w:rPr>
              <w:t>3.</w:t>
            </w:r>
            <w:r>
              <w:rPr>
                <w:rFonts w:hint="eastAsia" w:ascii="宋体" w:hAnsi="宋体" w:cs="宋体"/>
                <w:b/>
                <w:bCs/>
              </w:rPr>
              <w:t>优点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8364" w:type="dxa"/>
          </w:tcPr>
          <w:p>
            <w:pPr>
              <w:pStyle w:val="22"/>
              <w:spacing w:line="276" w:lineRule="auto"/>
              <w:ind w:firstLine="0" w:firstLineChars="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364" w:type="dxa"/>
            <w:shd w:val="clear" w:color="auto" w:fill="BFBFBF"/>
          </w:tcPr>
          <w:p>
            <w:pPr>
              <w:pStyle w:val="22"/>
              <w:spacing w:line="276" w:lineRule="auto"/>
              <w:ind w:firstLine="0" w:firstLineChars="0"/>
              <w:rPr>
                <w:rFonts w:ascii="宋体" w:hAnsi="宋体" w:cs="宋体"/>
                <w:b/>
                <w:bCs/>
              </w:rPr>
            </w:pPr>
            <w:r>
              <w:rPr>
                <w:rFonts w:ascii="宋体" w:hAnsi="宋体" w:cs="宋体"/>
                <w:b/>
                <w:bCs/>
              </w:rPr>
              <w:t>4.</w:t>
            </w:r>
            <w:r>
              <w:rPr>
                <w:rFonts w:hint="eastAsia" w:ascii="宋体" w:hAnsi="宋体" w:cs="宋体"/>
                <w:b/>
                <w:bCs/>
              </w:rPr>
              <w:t>问题与挑战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trPr>
        <w:tc>
          <w:tcPr>
            <w:tcW w:w="8364" w:type="dxa"/>
          </w:tcPr>
          <w:p>
            <w:pPr>
              <w:pStyle w:val="22"/>
              <w:spacing w:line="276" w:lineRule="auto"/>
              <w:ind w:firstLine="0" w:firstLineChars="0"/>
              <w:rPr>
                <w:rFonts w:ascii="宋体" w:hAnsi="宋体" w:cs="宋体"/>
                <w:b/>
                <w:bCs/>
              </w:rPr>
            </w:pPr>
          </w:p>
        </w:tc>
      </w:tr>
    </w:tbl>
    <w:p>
      <w:pPr>
        <w:pStyle w:val="16"/>
        <w:adjustRightInd/>
        <w:spacing w:line="276" w:lineRule="auto"/>
        <w:ind w:firstLine="0" w:firstLineChars="0"/>
        <w:jc w:val="left"/>
        <w:textAlignment w:val="auto"/>
        <w:rPr>
          <w:rFonts w:ascii="宋体"/>
          <w:b/>
          <w:bCs/>
          <w:sz w:val="28"/>
          <w:szCs w:val="28"/>
        </w:rPr>
      </w:pPr>
      <w:r>
        <w:rPr>
          <w:rFonts w:hint="eastAsia" w:ascii="宋体"/>
          <w:b/>
          <w:bCs/>
          <w:sz w:val="28"/>
          <w:szCs w:val="28"/>
        </w:rPr>
        <w:t>四、收获、思考与建议</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8364" w:type="dxa"/>
            <w:shd w:val="clear" w:color="auto" w:fill="BFBFBF"/>
          </w:tcPr>
          <w:p>
            <w:pPr>
              <w:pStyle w:val="22"/>
              <w:spacing w:line="276" w:lineRule="auto"/>
              <w:ind w:firstLine="0" w:firstLineChars="0"/>
              <w:rPr>
                <w:rFonts w:ascii="宋体" w:hAnsi="宋体" w:cs="宋体"/>
                <w:b/>
              </w:rPr>
            </w:pPr>
            <w:r>
              <w:rPr>
                <w:rFonts w:ascii="宋体" w:hAnsi="宋体" w:cs="宋体"/>
                <w:b/>
              </w:rPr>
              <w:t>1.收获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9" w:hRule="atLeast"/>
        </w:trPr>
        <w:tc>
          <w:tcPr>
            <w:tcW w:w="8364" w:type="dxa"/>
          </w:tcPr>
          <w:p>
            <w:pPr>
              <w:pStyle w:val="22"/>
              <w:spacing w:line="276" w:lineRule="auto"/>
              <w:ind w:firstLine="0" w:firstLineChars="0"/>
              <w:rPr>
                <w:rFonts w:ascii="宋体" w:cs="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8364" w:type="dxa"/>
            <w:shd w:val="clear" w:color="auto" w:fill="BFBFBF"/>
          </w:tcPr>
          <w:p>
            <w:pPr>
              <w:pStyle w:val="22"/>
              <w:spacing w:line="276" w:lineRule="auto"/>
              <w:ind w:firstLine="0" w:firstLineChars="0"/>
              <w:rPr>
                <w:rFonts w:ascii="宋体" w:hAnsi="宋体" w:cs="宋体"/>
                <w:b/>
                <w:bCs/>
              </w:rPr>
            </w:pPr>
            <w:r>
              <w:rPr>
                <w:rFonts w:ascii="宋体" w:hAnsi="宋体" w:cs="宋体"/>
                <w:b/>
                <w:bCs/>
              </w:rPr>
              <w:t>2.反思与启发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8364" w:type="dxa"/>
          </w:tcPr>
          <w:p>
            <w:pPr>
              <w:pStyle w:val="22"/>
              <w:spacing w:line="276" w:lineRule="auto"/>
              <w:ind w:firstLine="0" w:firstLineChars="0"/>
              <w:rPr>
                <w:rFonts w:ascii="宋体" w:hAnsi="宋体" w:cs="宋体"/>
                <w:b/>
                <w:bCs/>
              </w:rPr>
            </w:pPr>
          </w:p>
          <w:p>
            <w:pPr>
              <w:pStyle w:val="22"/>
              <w:spacing w:line="276" w:lineRule="auto"/>
              <w:ind w:firstLine="0" w:firstLineChars="0"/>
              <w:rPr>
                <w:rFonts w:ascii="宋体" w:hAnsi="宋体" w:cs="宋体"/>
                <w:b/>
                <w:bCs/>
              </w:rPr>
            </w:pPr>
          </w:p>
          <w:p>
            <w:pPr>
              <w:pStyle w:val="22"/>
              <w:spacing w:line="276" w:lineRule="auto"/>
              <w:ind w:firstLine="0" w:firstLineChars="0"/>
              <w:rPr>
                <w:rFonts w:ascii="宋体" w:hAnsi="宋体" w:cs="宋体"/>
                <w:b/>
                <w:bCs/>
              </w:rPr>
            </w:pPr>
          </w:p>
          <w:p>
            <w:pPr>
              <w:pStyle w:val="22"/>
              <w:spacing w:line="276" w:lineRule="auto"/>
              <w:ind w:firstLine="0" w:firstLineChars="0"/>
              <w:rPr>
                <w:rFonts w:ascii="宋体" w:hAnsi="宋体" w:cs="宋体"/>
                <w:b/>
                <w:bCs/>
              </w:rPr>
            </w:pPr>
          </w:p>
          <w:p>
            <w:pPr>
              <w:pStyle w:val="22"/>
              <w:spacing w:line="276" w:lineRule="auto"/>
              <w:ind w:firstLine="0" w:firstLineChars="0"/>
              <w:rPr>
                <w:rFonts w:ascii="宋体" w:hAnsi="宋体" w:cs="宋体"/>
                <w:b/>
                <w:bCs/>
              </w:rPr>
            </w:pPr>
          </w:p>
          <w:p>
            <w:pPr>
              <w:pStyle w:val="22"/>
              <w:spacing w:line="276" w:lineRule="auto"/>
              <w:ind w:firstLine="0" w:firstLineChars="0"/>
              <w:rPr>
                <w:rFonts w:ascii="宋体" w:hAnsi="宋体" w:cs="宋体"/>
                <w:b/>
                <w:bCs/>
              </w:rPr>
            </w:pPr>
          </w:p>
          <w:p>
            <w:pPr>
              <w:pStyle w:val="22"/>
              <w:spacing w:line="276" w:lineRule="auto"/>
              <w:ind w:firstLine="0" w:firstLineChars="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364" w:type="dxa"/>
            <w:shd w:val="clear" w:color="auto" w:fill="BFBFBF"/>
          </w:tcPr>
          <w:p>
            <w:pPr>
              <w:pStyle w:val="22"/>
              <w:spacing w:line="276" w:lineRule="auto"/>
              <w:ind w:firstLine="0" w:firstLineChars="0"/>
              <w:rPr>
                <w:rFonts w:ascii="宋体" w:hAnsi="宋体" w:cs="宋体"/>
                <w:b/>
                <w:bCs/>
              </w:rPr>
            </w:pPr>
            <w:r>
              <w:rPr>
                <w:rFonts w:ascii="宋体" w:hAnsi="宋体" w:cs="宋体"/>
                <w:b/>
                <w:bCs/>
              </w:rPr>
              <w:t>3.建议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trPr>
        <w:tc>
          <w:tcPr>
            <w:tcW w:w="8364" w:type="dxa"/>
            <w:tcBorders>
              <w:bottom w:val="single" w:color="auto" w:sz="4" w:space="0"/>
            </w:tcBorders>
          </w:tcPr>
          <w:p>
            <w:pPr>
              <w:pStyle w:val="22"/>
              <w:spacing w:line="276" w:lineRule="auto"/>
              <w:ind w:firstLine="0" w:firstLineChars="0"/>
              <w:rPr>
                <w:rFonts w:ascii="宋体" w:hAnsi="宋体" w:cs="宋体"/>
                <w:b/>
                <w:bCs/>
              </w:rPr>
            </w:pPr>
          </w:p>
          <w:p/>
          <w:p/>
        </w:tc>
      </w:tr>
    </w:tbl>
    <w:p>
      <w:pPr>
        <w:pStyle w:val="16"/>
        <w:adjustRightInd/>
        <w:spacing w:line="276" w:lineRule="auto"/>
        <w:ind w:firstLine="0" w:firstLineChars="0"/>
        <w:jc w:val="left"/>
        <w:textAlignment w:val="auto"/>
        <w:rPr>
          <w:rFonts w:ascii="宋体"/>
          <w:b/>
          <w:bCs/>
          <w:sz w:val="28"/>
          <w:szCs w:val="28"/>
        </w:rPr>
      </w:pPr>
      <w:r>
        <w:rPr>
          <w:rFonts w:hint="eastAsia" w:ascii="宋体"/>
          <w:b/>
          <w:bCs/>
          <w:sz w:val="28"/>
          <w:szCs w:val="28"/>
        </w:rPr>
        <w:t>五、后续计划</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8364" w:type="dxa"/>
          </w:tcPr>
          <w:p>
            <w:pPr>
              <w:spacing w:line="360" w:lineRule="auto"/>
              <w:rPr>
                <w:rFonts w:ascii="宋体" w:hAnsi="宋体" w:cs="宋体"/>
                <w:b/>
                <w:bCs/>
              </w:rPr>
            </w:pPr>
          </w:p>
          <w:p>
            <w:pPr>
              <w:spacing w:line="360" w:lineRule="auto"/>
              <w:rPr>
                <w:rFonts w:ascii="宋体" w:hAnsi="宋体" w:cs="宋体"/>
                <w:b/>
                <w:bCs/>
              </w:rPr>
            </w:pPr>
          </w:p>
        </w:tc>
      </w:tr>
    </w:tbl>
    <w:p>
      <w:pPr>
        <w:pStyle w:val="16"/>
        <w:adjustRightInd/>
        <w:spacing w:line="276" w:lineRule="auto"/>
        <w:ind w:firstLine="0" w:firstLineChars="0"/>
        <w:jc w:val="left"/>
        <w:textAlignment w:val="auto"/>
        <w:rPr>
          <w:rFonts w:ascii="宋体"/>
          <w:b/>
          <w:bCs/>
          <w:sz w:val="28"/>
          <w:szCs w:val="28"/>
        </w:rPr>
      </w:pPr>
      <w:r>
        <w:rPr>
          <w:rFonts w:hint="eastAsia" w:ascii="宋体"/>
          <w:b/>
          <w:bCs/>
          <w:sz w:val="28"/>
          <w:szCs w:val="28"/>
        </w:rPr>
        <w:t>六、相关附件</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4" w:type="dxa"/>
          </w:tcPr>
          <w:p>
            <w:pPr>
              <w:spacing w:line="360" w:lineRule="auto"/>
              <w:rPr>
                <w:rFonts w:hint="eastAsia" w:ascii="宋体"/>
              </w:rPr>
            </w:pPr>
            <w:r>
              <w:rPr>
                <w:rFonts w:ascii="宋体"/>
              </w:rPr>
              <w:t>1</w:t>
            </w:r>
            <w:r>
              <w:rPr>
                <w:rFonts w:hint="eastAsia" w:ascii="宋体"/>
              </w:rPr>
              <w:t>．照片/视频</w:t>
            </w:r>
          </w:p>
          <w:p>
            <w:pPr>
              <w:spacing w:line="360" w:lineRule="auto"/>
              <w:rPr>
                <w:rFonts w:hint="eastAsia" w:ascii="宋体"/>
              </w:rPr>
            </w:pPr>
          </w:p>
          <w:p>
            <w:pPr>
              <w:spacing w:line="360" w:lineRule="auto"/>
              <w:rPr>
                <w:rFonts w:ascii="宋体"/>
              </w:rPr>
            </w:pPr>
            <w:r>
              <w:rPr>
                <w:rFonts w:ascii="宋体"/>
              </w:rPr>
              <w:t>2</w:t>
            </w:r>
            <w:r>
              <w:rPr>
                <w:rFonts w:hint="eastAsia" w:ascii="宋体"/>
              </w:rPr>
              <w:t>．搜集资料一览表</w:t>
            </w:r>
          </w:p>
        </w:tc>
      </w:tr>
    </w:tbl>
    <w:p>
      <w:pPr>
        <w:spacing w:line="360" w:lineRule="auto"/>
        <w:rPr>
          <w:rFonts w:ascii="宋体" w:hAnsi="宋体"/>
          <w:sz w:val="24"/>
        </w:rPr>
      </w:pPr>
    </w:p>
    <w:p>
      <w:pPr>
        <w:spacing w:line="360" w:lineRule="auto"/>
        <w:outlineLvl w:val="1"/>
        <w:rPr>
          <w:rFonts w:asciiTheme="minorEastAsia" w:hAnsiTheme="minorEastAsia"/>
          <w:sz w:val="24"/>
          <w:szCs w:val="24"/>
        </w:rPr>
      </w:pPr>
      <w:bookmarkStart w:id="81" w:name="_Toc403829214"/>
      <w:bookmarkStart w:id="82" w:name="_Toc21993"/>
      <w:r>
        <w:rPr>
          <w:rFonts w:hint="eastAsia" w:asciiTheme="minorEastAsia" w:hAnsiTheme="minorEastAsia"/>
          <w:sz w:val="24"/>
          <w:szCs w:val="24"/>
        </w:rPr>
        <w:t>附件11-1：《办公用品清单》</w:t>
      </w:r>
      <w:bookmarkEnd w:id="81"/>
      <w:bookmarkEnd w:id="82"/>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基金会办公用品清单</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76"/>
        <w:gridCol w:w="1315"/>
        <w:gridCol w:w="852"/>
        <w:gridCol w:w="951"/>
        <w:gridCol w:w="1134"/>
        <w:gridCol w:w="1418"/>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0" w:type="dxa"/>
            <w:gridSpan w:val="4"/>
            <w:shd w:val="clear" w:color="auto" w:fill="auto"/>
          </w:tcPr>
          <w:p>
            <w:pPr>
              <w:spacing w:line="360" w:lineRule="auto"/>
              <w:jc w:val="center"/>
              <w:rPr>
                <w:rFonts w:ascii="Calibri" w:hAnsi="Calibri"/>
                <w:sz w:val="24"/>
                <w:szCs w:val="24"/>
              </w:rPr>
            </w:pPr>
            <w:r>
              <w:rPr>
                <w:rFonts w:hint="eastAsia" w:ascii="Calibri" w:hAnsi="Calibri"/>
                <w:sz w:val="24"/>
                <w:szCs w:val="24"/>
              </w:rPr>
              <w:t>易耗品</w:t>
            </w:r>
          </w:p>
        </w:tc>
        <w:tc>
          <w:tcPr>
            <w:tcW w:w="4262" w:type="dxa"/>
            <w:gridSpan w:val="4"/>
            <w:shd w:val="clear" w:color="auto" w:fill="auto"/>
          </w:tcPr>
          <w:p>
            <w:pPr>
              <w:spacing w:line="360" w:lineRule="auto"/>
              <w:jc w:val="center"/>
              <w:rPr>
                <w:rFonts w:ascii="Calibri" w:hAnsi="Calibri"/>
                <w:sz w:val="24"/>
                <w:szCs w:val="24"/>
              </w:rPr>
            </w:pPr>
            <w:r>
              <w:rPr>
                <w:rFonts w:hint="eastAsia" w:ascii="Calibri" w:hAnsi="Calibri"/>
                <w:sz w:val="24"/>
                <w:szCs w:val="24"/>
              </w:rPr>
              <w:t>耐用品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tcPr>
          <w:p>
            <w:pPr>
              <w:spacing w:line="360" w:lineRule="auto"/>
              <w:rPr>
                <w:rFonts w:ascii="Calibri" w:hAnsi="Calibri"/>
                <w:sz w:val="24"/>
                <w:szCs w:val="24"/>
              </w:rPr>
            </w:pPr>
            <w:r>
              <w:rPr>
                <w:rFonts w:hint="eastAsia" w:ascii="Calibri" w:hAnsi="Calibri"/>
                <w:sz w:val="24"/>
                <w:szCs w:val="24"/>
              </w:rPr>
              <w:t>编号</w:t>
            </w:r>
          </w:p>
        </w:tc>
        <w:tc>
          <w:tcPr>
            <w:tcW w:w="1276" w:type="dxa"/>
            <w:shd w:val="clear" w:color="auto" w:fill="auto"/>
          </w:tcPr>
          <w:p>
            <w:pPr>
              <w:spacing w:line="360" w:lineRule="auto"/>
              <w:rPr>
                <w:rFonts w:ascii="Calibri" w:hAnsi="Calibri"/>
                <w:sz w:val="24"/>
                <w:szCs w:val="24"/>
              </w:rPr>
            </w:pPr>
            <w:r>
              <w:rPr>
                <w:rFonts w:hint="eastAsia" w:ascii="Calibri" w:hAnsi="Calibri"/>
                <w:sz w:val="24"/>
                <w:szCs w:val="24"/>
              </w:rPr>
              <w:t>物品名称</w:t>
            </w:r>
          </w:p>
        </w:tc>
        <w:tc>
          <w:tcPr>
            <w:tcW w:w="1315" w:type="dxa"/>
            <w:shd w:val="clear" w:color="auto" w:fill="auto"/>
          </w:tcPr>
          <w:p>
            <w:pPr>
              <w:spacing w:line="360" w:lineRule="auto"/>
              <w:rPr>
                <w:rFonts w:ascii="Calibri" w:hAnsi="Calibri"/>
                <w:sz w:val="24"/>
                <w:szCs w:val="24"/>
              </w:rPr>
            </w:pPr>
            <w:r>
              <w:rPr>
                <w:rFonts w:hint="eastAsia" w:ascii="Calibri" w:hAnsi="Calibri"/>
                <w:sz w:val="24"/>
                <w:szCs w:val="24"/>
              </w:rPr>
              <w:t>规格/型号</w:t>
            </w:r>
          </w:p>
        </w:tc>
        <w:tc>
          <w:tcPr>
            <w:tcW w:w="852" w:type="dxa"/>
            <w:shd w:val="clear" w:color="auto" w:fill="auto"/>
          </w:tcPr>
          <w:p>
            <w:pPr>
              <w:spacing w:line="360" w:lineRule="auto"/>
              <w:rPr>
                <w:rFonts w:ascii="Calibri" w:hAnsi="Calibri"/>
                <w:sz w:val="24"/>
                <w:szCs w:val="24"/>
              </w:rPr>
            </w:pPr>
            <w:r>
              <w:rPr>
                <w:rFonts w:hint="eastAsia" w:ascii="Calibri" w:hAnsi="Calibri"/>
                <w:sz w:val="24"/>
                <w:szCs w:val="24"/>
              </w:rPr>
              <w:t>数量</w:t>
            </w:r>
          </w:p>
        </w:tc>
        <w:tc>
          <w:tcPr>
            <w:tcW w:w="951" w:type="dxa"/>
            <w:shd w:val="clear" w:color="auto" w:fill="auto"/>
          </w:tcPr>
          <w:p>
            <w:pPr>
              <w:spacing w:line="360" w:lineRule="auto"/>
              <w:rPr>
                <w:rFonts w:ascii="Calibri" w:hAnsi="Calibri"/>
                <w:sz w:val="24"/>
                <w:szCs w:val="24"/>
              </w:rPr>
            </w:pPr>
            <w:r>
              <w:rPr>
                <w:rFonts w:hint="eastAsia" w:ascii="Calibri" w:hAnsi="Calibri"/>
                <w:sz w:val="24"/>
                <w:szCs w:val="24"/>
              </w:rPr>
              <w:t>编号</w:t>
            </w:r>
          </w:p>
        </w:tc>
        <w:tc>
          <w:tcPr>
            <w:tcW w:w="1134" w:type="dxa"/>
            <w:shd w:val="clear" w:color="auto" w:fill="auto"/>
          </w:tcPr>
          <w:p>
            <w:pPr>
              <w:spacing w:line="360" w:lineRule="auto"/>
              <w:rPr>
                <w:rFonts w:ascii="Calibri" w:hAnsi="Calibri"/>
                <w:sz w:val="24"/>
                <w:szCs w:val="24"/>
              </w:rPr>
            </w:pPr>
            <w:r>
              <w:rPr>
                <w:rFonts w:hint="eastAsia" w:ascii="Calibri" w:hAnsi="Calibri"/>
                <w:sz w:val="24"/>
                <w:szCs w:val="24"/>
              </w:rPr>
              <w:t>物品名称</w:t>
            </w:r>
          </w:p>
        </w:tc>
        <w:tc>
          <w:tcPr>
            <w:tcW w:w="1418" w:type="dxa"/>
            <w:shd w:val="clear" w:color="auto" w:fill="auto"/>
          </w:tcPr>
          <w:p>
            <w:pPr>
              <w:spacing w:line="360" w:lineRule="auto"/>
              <w:rPr>
                <w:rFonts w:ascii="Calibri" w:hAnsi="Calibri"/>
                <w:sz w:val="24"/>
                <w:szCs w:val="24"/>
              </w:rPr>
            </w:pPr>
            <w:r>
              <w:rPr>
                <w:rFonts w:hint="eastAsia" w:ascii="Calibri" w:hAnsi="Calibri"/>
                <w:sz w:val="24"/>
                <w:szCs w:val="24"/>
              </w:rPr>
              <w:t>规格/型号</w:t>
            </w:r>
          </w:p>
        </w:tc>
        <w:tc>
          <w:tcPr>
            <w:tcW w:w="759" w:type="dxa"/>
            <w:shd w:val="clear" w:color="auto" w:fill="auto"/>
          </w:tcPr>
          <w:p>
            <w:pPr>
              <w:spacing w:line="360" w:lineRule="auto"/>
              <w:rPr>
                <w:rFonts w:ascii="Calibri" w:hAnsi="Calibri"/>
                <w:sz w:val="24"/>
                <w:szCs w:val="24"/>
              </w:rPr>
            </w:pPr>
            <w:r>
              <w:rPr>
                <w:rFonts w:hint="eastAsia" w:ascii="Calibri" w:hAnsi="Calibri"/>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tcPr>
          <w:p>
            <w:pPr>
              <w:spacing w:line="360" w:lineRule="auto"/>
              <w:rPr>
                <w:rFonts w:ascii="Calibri" w:hAnsi="Calibri"/>
                <w:sz w:val="24"/>
                <w:szCs w:val="24"/>
              </w:rPr>
            </w:pPr>
          </w:p>
        </w:tc>
        <w:tc>
          <w:tcPr>
            <w:tcW w:w="1276" w:type="dxa"/>
            <w:shd w:val="clear" w:color="auto" w:fill="auto"/>
          </w:tcPr>
          <w:p>
            <w:pPr>
              <w:spacing w:line="360" w:lineRule="auto"/>
              <w:rPr>
                <w:rFonts w:ascii="Calibri" w:hAnsi="Calibri"/>
                <w:sz w:val="24"/>
                <w:szCs w:val="24"/>
              </w:rPr>
            </w:pPr>
          </w:p>
        </w:tc>
        <w:tc>
          <w:tcPr>
            <w:tcW w:w="1315" w:type="dxa"/>
            <w:shd w:val="clear" w:color="auto" w:fill="auto"/>
          </w:tcPr>
          <w:p>
            <w:pPr>
              <w:spacing w:line="360" w:lineRule="auto"/>
              <w:rPr>
                <w:rFonts w:ascii="Calibri" w:hAnsi="Calibri"/>
                <w:sz w:val="24"/>
                <w:szCs w:val="24"/>
              </w:rPr>
            </w:pPr>
          </w:p>
        </w:tc>
        <w:tc>
          <w:tcPr>
            <w:tcW w:w="852" w:type="dxa"/>
            <w:shd w:val="clear" w:color="auto" w:fill="auto"/>
          </w:tcPr>
          <w:p>
            <w:pPr>
              <w:spacing w:line="360" w:lineRule="auto"/>
              <w:rPr>
                <w:rFonts w:ascii="Calibri" w:hAnsi="Calibri"/>
                <w:sz w:val="24"/>
                <w:szCs w:val="24"/>
              </w:rPr>
            </w:pPr>
          </w:p>
        </w:tc>
        <w:tc>
          <w:tcPr>
            <w:tcW w:w="951" w:type="dxa"/>
            <w:shd w:val="clear" w:color="auto" w:fill="auto"/>
          </w:tcPr>
          <w:p>
            <w:pPr>
              <w:spacing w:line="360" w:lineRule="auto"/>
              <w:rPr>
                <w:rFonts w:ascii="Calibri" w:hAnsi="Calibri"/>
                <w:sz w:val="24"/>
                <w:szCs w:val="24"/>
              </w:rPr>
            </w:pPr>
          </w:p>
        </w:tc>
        <w:tc>
          <w:tcPr>
            <w:tcW w:w="1134" w:type="dxa"/>
            <w:shd w:val="clear" w:color="auto" w:fill="auto"/>
          </w:tcPr>
          <w:p>
            <w:pPr>
              <w:spacing w:line="360" w:lineRule="auto"/>
              <w:rPr>
                <w:rFonts w:ascii="Calibri" w:hAnsi="Calibri"/>
                <w:sz w:val="24"/>
                <w:szCs w:val="24"/>
              </w:rPr>
            </w:pPr>
          </w:p>
        </w:tc>
        <w:tc>
          <w:tcPr>
            <w:tcW w:w="1418" w:type="dxa"/>
            <w:shd w:val="clear" w:color="auto" w:fill="auto"/>
          </w:tcPr>
          <w:p>
            <w:pPr>
              <w:spacing w:line="360" w:lineRule="auto"/>
              <w:rPr>
                <w:rFonts w:ascii="Calibri" w:hAnsi="Calibri"/>
                <w:sz w:val="24"/>
                <w:szCs w:val="24"/>
              </w:rPr>
            </w:pPr>
          </w:p>
        </w:tc>
        <w:tc>
          <w:tcPr>
            <w:tcW w:w="759" w:type="dxa"/>
            <w:shd w:val="clear" w:color="auto" w:fill="auto"/>
          </w:tcPr>
          <w:p>
            <w:pPr>
              <w:spacing w:line="360" w:lineRule="auto"/>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tcPr>
          <w:p>
            <w:pPr>
              <w:spacing w:line="360" w:lineRule="auto"/>
              <w:rPr>
                <w:rFonts w:ascii="Calibri" w:hAnsi="Calibri"/>
                <w:sz w:val="24"/>
                <w:szCs w:val="24"/>
              </w:rPr>
            </w:pPr>
          </w:p>
        </w:tc>
        <w:tc>
          <w:tcPr>
            <w:tcW w:w="1276" w:type="dxa"/>
            <w:shd w:val="clear" w:color="auto" w:fill="auto"/>
          </w:tcPr>
          <w:p>
            <w:pPr>
              <w:spacing w:line="360" w:lineRule="auto"/>
              <w:rPr>
                <w:rFonts w:ascii="Calibri" w:hAnsi="Calibri"/>
                <w:sz w:val="24"/>
                <w:szCs w:val="24"/>
              </w:rPr>
            </w:pPr>
          </w:p>
        </w:tc>
        <w:tc>
          <w:tcPr>
            <w:tcW w:w="1315" w:type="dxa"/>
            <w:shd w:val="clear" w:color="auto" w:fill="auto"/>
          </w:tcPr>
          <w:p>
            <w:pPr>
              <w:spacing w:line="360" w:lineRule="auto"/>
              <w:rPr>
                <w:rFonts w:ascii="Calibri" w:hAnsi="Calibri"/>
                <w:sz w:val="24"/>
                <w:szCs w:val="24"/>
              </w:rPr>
            </w:pPr>
          </w:p>
        </w:tc>
        <w:tc>
          <w:tcPr>
            <w:tcW w:w="852" w:type="dxa"/>
            <w:shd w:val="clear" w:color="auto" w:fill="auto"/>
          </w:tcPr>
          <w:p>
            <w:pPr>
              <w:spacing w:line="360" w:lineRule="auto"/>
              <w:rPr>
                <w:rFonts w:ascii="Calibri" w:hAnsi="Calibri"/>
                <w:sz w:val="24"/>
                <w:szCs w:val="24"/>
              </w:rPr>
            </w:pPr>
          </w:p>
        </w:tc>
        <w:tc>
          <w:tcPr>
            <w:tcW w:w="951" w:type="dxa"/>
            <w:shd w:val="clear" w:color="auto" w:fill="auto"/>
          </w:tcPr>
          <w:p>
            <w:pPr>
              <w:spacing w:line="360" w:lineRule="auto"/>
              <w:rPr>
                <w:rFonts w:ascii="Calibri" w:hAnsi="Calibri"/>
                <w:sz w:val="24"/>
                <w:szCs w:val="24"/>
              </w:rPr>
            </w:pPr>
          </w:p>
        </w:tc>
        <w:tc>
          <w:tcPr>
            <w:tcW w:w="1134" w:type="dxa"/>
            <w:shd w:val="clear" w:color="auto" w:fill="auto"/>
          </w:tcPr>
          <w:p>
            <w:pPr>
              <w:spacing w:line="360" w:lineRule="auto"/>
              <w:rPr>
                <w:rFonts w:ascii="Calibri" w:hAnsi="Calibri"/>
                <w:sz w:val="24"/>
                <w:szCs w:val="24"/>
              </w:rPr>
            </w:pPr>
          </w:p>
        </w:tc>
        <w:tc>
          <w:tcPr>
            <w:tcW w:w="1418" w:type="dxa"/>
            <w:shd w:val="clear" w:color="auto" w:fill="auto"/>
          </w:tcPr>
          <w:p>
            <w:pPr>
              <w:spacing w:line="360" w:lineRule="auto"/>
              <w:rPr>
                <w:rFonts w:ascii="Calibri" w:hAnsi="Calibri"/>
                <w:sz w:val="24"/>
                <w:szCs w:val="24"/>
              </w:rPr>
            </w:pPr>
          </w:p>
        </w:tc>
        <w:tc>
          <w:tcPr>
            <w:tcW w:w="759" w:type="dxa"/>
            <w:shd w:val="clear" w:color="auto" w:fill="auto"/>
          </w:tcPr>
          <w:p>
            <w:pPr>
              <w:spacing w:line="360" w:lineRule="auto"/>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tcPr>
          <w:p>
            <w:pPr>
              <w:spacing w:line="360" w:lineRule="auto"/>
              <w:rPr>
                <w:rFonts w:ascii="Calibri" w:hAnsi="Calibri"/>
                <w:sz w:val="24"/>
                <w:szCs w:val="24"/>
              </w:rPr>
            </w:pPr>
          </w:p>
        </w:tc>
        <w:tc>
          <w:tcPr>
            <w:tcW w:w="1276" w:type="dxa"/>
            <w:shd w:val="clear" w:color="auto" w:fill="auto"/>
          </w:tcPr>
          <w:p>
            <w:pPr>
              <w:spacing w:line="360" w:lineRule="auto"/>
              <w:rPr>
                <w:rFonts w:ascii="Calibri" w:hAnsi="Calibri"/>
                <w:sz w:val="24"/>
                <w:szCs w:val="24"/>
              </w:rPr>
            </w:pPr>
          </w:p>
        </w:tc>
        <w:tc>
          <w:tcPr>
            <w:tcW w:w="1315" w:type="dxa"/>
            <w:shd w:val="clear" w:color="auto" w:fill="auto"/>
          </w:tcPr>
          <w:p>
            <w:pPr>
              <w:spacing w:line="360" w:lineRule="auto"/>
              <w:rPr>
                <w:rFonts w:ascii="Calibri" w:hAnsi="Calibri"/>
                <w:sz w:val="24"/>
                <w:szCs w:val="24"/>
              </w:rPr>
            </w:pPr>
          </w:p>
        </w:tc>
        <w:tc>
          <w:tcPr>
            <w:tcW w:w="852" w:type="dxa"/>
            <w:shd w:val="clear" w:color="auto" w:fill="auto"/>
          </w:tcPr>
          <w:p>
            <w:pPr>
              <w:spacing w:line="360" w:lineRule="auto"/>
              <w:rPr>
                <w:rFonts w:ascii="Calibri" w:hAnsi="Calibri"/>
                <w:sz w:val="24"/>
                <w:szCs w:val="24"/>
              </w:rPr>
            </w:pPr>
          </w:p>
        </w:tc>
        <w:tc>
          <w:tcPr>
            <w:tcW w:w="951" w:type="dxa"/>
            <w:shd w:val="clear" w:color="auto" w:fill="auto"/>
          </w:tcPr>
          <w:p>
            <w:pPr>
              <w:spacing w:line="360" w:lineRule="auto"/>
              <w:rPr>
                <w:rFonts w:ascii="Calibri" w:hAnsi="Calibri"/>
                <w:sz w:val="24"/>
                <w:szCs w:val="24"/>
              </w:rPr>
            </w:pPr>
          </w:p>
        </w:tc>
        <w:tc>
          <w:tcPr>
            <w:tcW w:w="1134" w:type="dxa"/>
            <w:shd w:val="clear" w:color="auto" w:fill="auto"/>
          </w:tcPr>
          <w:p>
            <w:pPr>
              <w:spacing w:line="360" w:lineRule="auto"/>
              <w:rPr>
                <w:rFonts w:ascii="Calibri" w:hAnsi="Calibri"/>
                <w:sz w:val="24"/>
                <w:szCs w:val="24"/>
              </w:rPr>
            </w:pPr>
          </w:p>
        </w:tc>
        <w:tc>
          <w:tcPr>
            <w:tcW w:w="1418" w:type="dxa"/>
            <w:shd w:val="clear" w:color="auto" w:fill="auto"/>
          </w:tcPr>
          <w:p>
            <w:pPr>
              <w:spacing w:line="360" w:lineRule="auto"/>
              <w:rPr>
                <w:rFonts w:ascii="Calibri" w:hAnsi="Calibri"/>
                <w:sz w:val="24"/>
                <w:szCs w:val="24"/>
              </w:rPr>
            </w:pPr>
          </w:p>
        </w:tc>
        <w:tc>
          <w:tcPr>
            <w:tcW w:w="759" w:type="dxa"/>
            <w:shd w:val="clear" w:color="auto" w:fill="auto"/>
          </w:tcPr>
          <w:p>
            <w:pPr>
              <w:spacing w:line="360" w:lineRule="auto"/>
              <w:rPr>
                <w:rFonts w:ascii="Calibri" w:hAnsi="Calibri"/>
                <w:sz w:val="24"/>
                <w:szCs w:val="24"/>
              </w:rPr>
            </w:pPr>
          </w:p>
        </w:tc>
      </w:tr>
    </w:tbl>
    <w:p>
      <w:pPr>
        <w:spacing w:line="360" w:lineRule="auto"/>
        <w:jc w:val="left"/>
        <w:rPr>
          <w:rFonts w:asciiTheme="minorEastAsia" w:hAnsiTheme="minorEastAsia"/>
          <w:sz w:val="24"/>
          <w:szCs w:val="24"/>
        </w:rPr>
      </w:pPr>
    </w:p>
    <w:p>
      <w:pPr>
        <w:spacing w:line="360" w:lineRule="auto"/>
        <w:outlineLvl w:val="1"/>
        <w:rPr>
          <w:rFonts w:asciiTheme="minorEastAsia" w:hAnsiTheme="minorEastAsia"/>
          <w:sz w:val="24"/>
          <w:szCs w:val="24"/>
        </w:rPr>
      </w:pPr>
      <w:bookmarkStart w:id="83" w:name="_Toc403829215"/>
      <w:bookmarkStart w:id="84" w:name="_Toc4392"/>
      <w:r>
        <w:rPr>
          <w:rFonts w:hint="eastAsia" w:asciiTheme="minorEastAsia" w:hAnsiTheme="minorEastAsia"/>
          <w:sz w:val="24"/>
          <w:szCs w:val="24"/>
        </w:rPr>
        <w:t>附件11-2：《办公用品领取登记表》</w:t>
      </w:r>
      <w:bookmarkEnd w:id="83"/>
      <w:bookmarkEnd w:id="84"/>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基金会办公用品领取登记表</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shd w:val="clear" w:color="auto" w:fill="auto"/>
          </w:tcPr>
          <w:p>
            <w:pPr>
              <w:spacing w:line="360" w:lineRule="auto"/>
              <w:jc w:val="center"/>
              <w:rPr>
                <w:rFonts w:ascii="Calibri" w:hAnsi="Calibri"/>
                <w:sz w:val="24"/>
                <w:szCs w:val="24"/>
              </w:rPr>
            </w:pPr>
            <w:r>
              <w:rPr>
                <w:rFonts w:hint="eastAsia" w:ascii="Calibri" w:hAnsi="Calibri"/>
                <w:sz w:val="24"/>
                <w:szCs w:val="24"/>
              </w:rPr>
              <w:t>领取时间</w:t>
            </w:r>
          </w:p>
        </w:tc>
        <w:tc>
          <w:tcPr>
            <w:tcW w:w="1704" w:type="dxa"/>
            <w:shd w:val="clear" w:color="auto" w:fill="auto"/>
          </w:tcPr>
          <w:p>
            <w:pPr>
              <w:spacing w:line="360" w:lineRule="auto"/>
              <w:jc w:val="center"/>
              <w:rPr>
                <w:rFonts w:ascii="Calibri" w:hAnsi="Calibri"/>
                <w:sz w:val="24"/>
                <w:szCs w:val="24"/>
              </w:rPr>
            </w:pPr>
            <w:r>
              <w:rPr>
                <w:rFonts w:hint="eastAsia" w:ascii="Calibri" w:hAnsi="Calibri"/>
                <w:sz w:val="24"/>
                <w:szCs w:val="24"/>
              </w:rPr>
              <w:t>物品名称</w:t>
            </w:r>
          </w:p>
        </w:tc>
        <w:tc>
          <w:tcPr>
            <w:tcW w:w="1704" w:type="dxa"/>
            <w:shd w:val="clear" w:color="auto" w:fill="auto"/>
          </w:tcPr>
          <w:p>
            <w:pPr>
              <w:spacing w:line="360" w:lineRule="auto"/>
              <w:jc w:val="center"/>
              <w:rPr>
                <w:rFonts w:ascii="Calibri" w:hAnsi="Calibri"/>
                <w:sz w:val="24"/>
                <w:szCs w:val="24"/>
              </w:rPr>
            </w:pPr>
            <w:r>
              <w:rPr>
                <w:rFonts w:hint="eastAsia" w:ascii="Calibri" w:hAnsi="Calibri"/>
                <w:sz w:val="24"/>
                <w:szCs w:val="24"/>
              </w:rPr>
              <w:t>规格/型号</w:t>
            </w:r>
          </w:p>
        </w:tc>
        <w:tc>
          <w:tcPr>
            <w:tcW w:w="1705" w:type="dxa"/>
            <w:shd w:val="clear" w:color="auto" w:fill="auto"/>
          </w:tcPr>
          <w:p>
            <w:pPr>
              <w:spacing w:line="360" w:lineRule="auto"/>
              <w:jc w:val="center"/>
              <w:rPr>
                <w:rFonts w:ascii="Calibri" w:hAnsi="Calibri"/>
                <w:sz w:val="24"/>
                <w:szCs w:val="24"/>
              </w:rPr>
            </w:pPr>
            <w:r>
              <w:rPr>
                <w:rFonts w:hint="eastAsia" w:ascii="Calibri" w:hAnsi="Calibri"/>
                <w:sz w:val="24"/>
                <w:szCs w:val="24"/>
              </w:rPr>
              <w:t>数量</w:t>
            </w:r>
          </w:p>
        </w:tc>
        <w:tc>
          <w:tcPr>
            <w:tcW w:w="1705" w:type="dxa"/>
            <w:shd w:val="clear" w:color="auto" w:fill="auto"/>
          </w:tcPr>
          <w:p>
            <w:pPr>
              <w:spacing w:line="360" w:lineRule="auto"/>
              <w:jc w:val="center"/>
              <w:rPr>
                <w:rFonts w:ascii="Calibri" w:hAnsi="Calibri"/>
                <w:sz w:val="24"/>
                <w:szCs w:val="24"/>
              </w:rPr>
            </w:pPr>
            <w:r>
              <w:rPr>
                <w:rFonts w:hint="eastAsia" w:ascii="Calibri" w:hAnsi="Calibri"/>
                <w:sz w:val="24"/>
                <w:szCs w:val="24"/>
              </w:rPr>
              <w:t>领取人签字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shd w:val="clear" w:color="auto" w:fill="auto"/>
          </w:tcPr>
          <w:p>
            <w:pPr>
              <w:spacing w:line="360" w:lineRule="auto"/>
              <w:rPr>
                <w:rFonts w:ascii="Calibri" w:hAnsi="Calibri"/>
                <w:sz w:val="24"/>
                <w:szCs w:val="24"/>
              </w:rPr>
            </w:pPr>
          </w:p>
        </w:tc>
        <w:tc>
          <w:tcPr>
            <w:tcW w:w="1704" w:type="dxa"/>
            <w:shd w:val="clear" w:color="auto" w:fill="auto"/>
          </w:tcPr>
          <w:p>
            <w:pPr>
              <w:spacing w:line="360" w:lineRule="auto"/>
              <w:rPr>
                <w:rFonts w:ascii="Calibri" w:hAnsi="Calibri"/>
                <w:sz w:val="24"/>
                <w:szCs w:val="24"/>
              </w:rPr>
            </w:pPr>
          </w:p>
        </w:tc>
        <w:tc>
          <w:tcPr>
            <w:tcW w:w="1704" w:type="dxa"/>
            <w:shd w:val="clear" w:color="auto" w:fill="auto"/>
          </w:tcPr>
          <w:p>
            <w:pPr>
              <w:spacing w:line="360" w:lineRule="auto"/>
              <w:rPr>
                <w:rFonts w:ascii="Calibri" w:hAnsi="Calibri"/>
                <w:sz w:val="24"/>
                <w:szCs w:val="24"/>
              </w:rPr>
            </w:pPr>
          </w:p>
        </w:tc>
        <w:tc>
          <w:tcPr>
            <w:tcW w:w="1705" w:type="dxa"/>
            <w:shd w:val="clear" w:color="auto" w:fill="auto"/>
          </w:tcPr>
          <w:p>
            <w:pPr>
              <w:spacing w:line="360" w:lineRule="auto"/>
              <w:rPr>
                <w:rFonts w:ascii="Calibri" w:hAnsi="Calibri"/>
                <w:sz w:val="24"/>
                <w:szCs w:val="24"/>
              </w:rPr>
            </w:pPr>
          </w:p>
        </w:tc>
        <w:tc>
          <w:tcPr>
            <w:tcW w:w="1705" w:type="dxa"/>
            <w:shd w:val="clear" w:color="auto" w:fill="auto"/>
          </w:tcPr>
          <w:p>
            <w:pPr>
              <w:spacing w:line="360" w:lineRule="auto"/>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shd w:val="clear" w:color="auto" w:fill="auto"/>
          </w:tcPr>
          <w:p>
            <w:pPr>
              <w:spacing w:line="360" w:lineRule="auto"/>
              <w:rPr>
                <w:rFonts w:ascii="Calibri" w:hAnsi="Calibri"/>
                <w:sz w:val="24"/>
                <w:szCs w:val="24"/>
              </w:rPr>
            </w:pPr>
          </w:p>
        </w:tc>
        <w:tc>
          <w:tcPr>
            <w:tcW w:w="1704" w:type="dxa"/>
            <w:shd w:val="clear" w:color="auto" w:fill="auto"/>
          </w:tcPr>
          <w:p>
            <w:pPr>
              <w:spacing w:line="360" w:lineRule="auto"/>
              <w:rPr>
                <w:rFonts w:ascii="Calibri" w:hAnsi="Calibri"/>
                <w:sz w:val="24"/>
                <w:szCs w:val="24"/>
              </w:rPr>
            </w:pPr>
          </w:p>
        </w:tc>
        <w:tc>
          <w:tcPr>
            <w:tcW w:w="1704" w:type="dxa"/>
            <w:shd w:val="clear" w:color="auto" w:fill="auto"/>
          </w:tcPr>
          <w:p>
            <w:pPr>
              <w:spacing w:line="360" w:lineRule="auto"/>
              <w:rPr>
                <w:rFonts w:ascii="Calibri" w:hAnsi="Calibri"/>
                <w:sz w:val="24"/>
                <w:szCs w:val="24"/>
              </w:rPr>
            </w:pPr>
          </w:p>
        </w:tc>
        <w:tc>
          <w:tcPr>
            <w:tcW w:w="1705" w:type="dxa"/>
            <w:shd w:val="clear" w:color="auto" w:fill="auto"/>
          </w:tcPr>
          <w:p>
            <w:pPr>
              <w:spacing w:line="360" w:lineRule="auto"/>
              <w:rPr>
                <w:rFonts w:ascii="Calibri" w:hAnsi="Calibri"/>
                <w:sz w:val="24"/>
                <w:szCs w:val="24"/>
              </w:rPr>
            </w:pPr>
          </w:p>
        </w:tc>
        <w:tc>
          <w:tcPr>
            <w:tcW w:w="1705" w:type="dxa"/>
            <w:shd w:val="clear" w:color="auto" w:fill="auto"/>
          </w:tcPr>
          <w:p>
            <w:pPr>
              <w:spacing w:line="360" w:lineRule="auto"/>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shd w:val="clear" w:color="auto" w:fill="auto"/>
          </w:tcPr>
          <w:p>
            <w:pPr>
              <w:spacing w:line="360" w:lineRule="auto"/>
              <w:jc w:val="center"/>
              <w:rPr>
                <w:rFonts w:ascii="微软雅黑" w:hAnsi="微软雅黑" w:eastAsia="微软雅黑"/>
                <w:b/>
                <w:sz w:val="28"/>
                <w:szCs w:val="28"/>
              </w:rPr>
            </w:pPr>
          </w:p>
        </w:tc>
        <w:tc>
          <w:tcPr>
            <w:tcW w:w="1704" w:type="dxa"/>
            <w:shd w:val="clear" w:color="auto" w:fill="auto"/>
          </w:tcPr>
          <w:p>
            <w:pPr>
              <w:spacing w:line="360" w:lineRule="auto"/>
              <w:jc w:val="center"/>
              <w:rPr>
                <w:rFonts w:ascii="微软雅黑" w:hAnsi="微软雅黑" w:eastAsia="微软雅黑"/>
                <w:b/>
                <w:sz w:val="28"/>
                <w:szCs w:val="28"/>
              </w:rPr>
            </w:pPr>
          </w:p>
        </w:tc>
        <w:tc>
          <w:tcPr>
            <w:tcW w:w="1704" w:type="dxa"/>
            <w:shd w:val="clear" w:color="auto" w:fill="auto"/>
          </w:tcPr>
          <w:p>
            <w:pPr>
              <w:spacing w:line="360" w:lineRule="auto"/>
              <w:jc w:val="center"/>
              <w:rPr>
                <w:rFonts w:ascii="微软雅黑" w:hAnsi="微软雅黑" w:eastAsia="微软雅黑"/>
                <w:b/>
                <w:sz w:val="28"/>
                <w:szCs w:val="28"/>
              </w:rPr>
            </w:pPr>
          </w:p>
        </w:tc>
        <w:tc>
          <w:tcPr>
            <w:tcW w:w="1705" w:type="dxa"/>
            <w:shd w:val="clear" w:color="auto" w:fill="auto"/>
          </w:tcPr>
          <w:p>
            <w:pPr>
              <w:spacing w:line="360" w:lineRule="auto"/>
              <w:jc w:val="center"/>
              <w:rPr>
                <w:rFonts w:ascii="微软雅黑" w:hAnsi="微软雅黑" w:eastAsia="微软雅黑"/>
                <w:b/>
                <w:sz w:val="28"/>
                <w:szCs w:val="28"/>
              </w:rPr>
            </w:pPr>
          </w:p>
        </w:tc>
        <w:tc>
          <w:tcPr>
            <w:tcW w:w="1705" w:type="dxa"/>
            <w:shd w:val="clear" w:color="auto" w:fill="auto"/>
          </w:tcPr>
          <w:p>
            <w:pPr>
              <w:spacing w:line="360" w:lineRule="auto"/>
              <w:jc w:val="center"/>
              <w:rPr>
                <w:rFonts w:ascii="微软雅黑" w:hAnsi="微软雅黑" w:eastAsia="微软雅黑"/>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shd w:val="clear" w:color="auto" w:fill="auto"/>
          </w:tcPr>
          <w:p>
            <w:pPr>
              <w:spacing w:line="360" w:lineRule="auto"/>
              <w:rPr>
                <w:rFonts w:ascii="Calibri" w:hAnsi="Calibri"/>
                <w:sz w:val="24"/>
                <w:szCs w:val="24"/>
              </w:rPr>
            </w:pPr>
          </w:p>
        </w:tc>
        <w:tc>
          <w:tcPr>
            <w:tcW w:w="1704" w:type="dxa"/>
            <w:shd w:val="clear" w:color="auto" w:fill="auto"/>
          </w:tcPr>
          <w:p>
            <w:pPr>
              <w:spacing w:line="360" w:lineRule="auto"/>
              <w:rPr>
                <w:rFonts w:ascii="Calibri" w:hAnsi="Calibri"/>
                <w:sz w:val="24"/>
                <w:szCs w:val="24"/>
              </w:rPr>
            </w:pPr>
          </w:p>
        </w:tc>
        <w:tc>
          <w:tcPr>
            <w:tcW w:w="1704" w:type="dxa"/>
            <w:shd w:val="clear" w:color="auto" w:fill="auto"/>
          </w:tcPr>
          <w:p>
            <w:pPr>
              <w:spacing w:line="360" w:lineRule="auto"/>
              <w:rPr>
                <w:rFonts w:ascii="Calibri" w:hAnsi="Calibri"/>
                <w:sz w:val="24"/>
                <w:szCs w:val="24"/>
              </w:rPr>
            </w:pPr>
          </w:p>
        </w:tc>
        <w:tc>
          <w:tcPr>
            <w:tcW w:w="1705" w:type="dxa"/>
            <w:shd w:val="clear" w:color="auto" w:fill="auto"/>
          </w:tcPr>
          <w:p>
            <w:pPr>
              <w:spacing w:line="360" w:lineRule="auto"/>
              <w:rPr>
                <w:rFonts w:ascii="Calibri" w:hAnsi="Calibri"/>
                <w:sz w:val="24"/>
                <w:szCs w:val="24"/>
              </w:rPr>
            </w:pPr>
          </w:p>
        </w:tc>
        <w:tc>
          <w:tcPr>
            <w:tcW w:w="1705" w:type="dxa"/>
            <w:shd w:val="clear" w:color="auto" w:fill="auto"/>
          </w:tcPr>
          <w:p>
            <w:pPr>
              <w:spacing w:line="360" w:lineRule="auto"/>
              <w:rPr>
                <w:rFonts w:ascii="Calibri" w:hAnsi="Calibri"/>
                <w:sz w:val="24"/>
                <w:szCs w:val="24"/>
              </w:rPr>
            </w:pPr>
          </w:p>
        </w:tc>
      </w:tr>
    </w:tbl>
    <w:p>
      <w:pPr>
        <w:spacing w:line="360" w:lineRule="auto"/>
        <w:jc w:val="left"/>
        <w:rPr>
          <w:rFonts w:asciiTheme="minorEastAsia" w:hAnsiTheme="minorEastAsia"/>
          <w:sz w:val="24"/>
          <w:szCs w:val="24"/>
        </w:rPr>
      </w:pPr>
    </w:p>
    <w:p>
      <w:pPr>
        <w:spacing w:line="360" w:lineRule="auto"/>
        <w:outlineLvl w:val="1"/>
        <w:rPr>
          <w:rFonts w:asciiTheme="minorEastAsia" w:hAnsiTheme="minorEastAsia"/>
          <w:sz w:val="24"/>
          <w:szCs w:val="24"/>
        </w:rPr>
      </w:pPr>
      <w:bookmarkStart w:id="85" w:name="_Toc403829216"/>
      <w:bookmarkStart w:id="86" w:name="_Toc30404"/>
      <w:r>
        <w:rPr>
          <w:rFonts w:hint="eastAsia" w:asciiTheme="minorEastAsia" w:hAnsiTheme="minorEastAsia"/>
          <w:sz w:val="24"/>
          <w:szCs w:val="24"/>
        </w:rPr>
        <w:t>附件11-3：《办公用品交接登记表》</w:t>
      </w:r>
      <w:bookmarkEnd w:id="85"/>
      <w:bookmarkEnd w:id="86"/>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基金会办公用品交接登记表</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819"/>
        <w:gridCol w:w="1065"/>
        <w:gridCol w:w="1235"/>
        <w:gridCol w:w="992"/>
        <w:gridCol w:w="1276"/>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spacing w:line="360" w:lineRule="auto"/>
              <w:jc w:val="center"/>
              <w:rPr>
                <w:rFonts w:ascii="Calibri" w:hAnsi="Calibri"/>
                <w:sz w:val="24"/>
                <w:szCs w:val="24"/>
              </w:rPr>
            </w:pPr>
            <w:r>
              <w:rPr>
                <w:rFonts w:hint="eastAsia" w:ascii="Calibri" w:hAnsi="Calibri"/>
                <w:sz w:val="24"/>
                <w:szCs w:val="24"/>
              </w:rPr>
              <w:t>日期</w:t>
            </w:r>
          </w:p>
        </w:tc>
        <w:tc>
          <w:tcPr>
            <w:tcW w:w="1417" w:type="dxa"/>
            <w:shd w:val="clear" w:color="auto" w:fill="auto"/>
          </w:tcPr>
          <w:p>
            <w:pPr>
              <w:spacing w:line="360" w:lineRule="auto"/>
              <w:jc w:val="center"/>
              <w:rPr>
                <w:rFonts w:ascii="Calibri" w:hAnsi="Calibri"/>
                <w:sz w:val="24"/>
                <w:szCs w:val="24"/>
              </w:rPr>
            </w:pPr>
            <w:r>
              <w:rPr>
                <w:rFonts w:hint="eastAsia" w:ascii="Calibri" w:hAnsi="Calibri"/>
                <w:sz w:val="24"/>
                <w:szCs w:val="24"/>
              </w:rPr>
              <w:t>物品名称</w:t>
            </w:r>
          </w:p>
        </w:tc>
        <w:tc>
          <w:tcPr>
            <w:tcW w:w="819" w:type="dxa"/>
            <w:shd w:val="clear" w:color="auto" w:fill="auto"/>
          </w:tcPr>
          <w:p>
            <w:pPr>
              <w:spacing w:line="360" w:lineRule="auto"/>
              <w:jc w:val="center"/>
              <w:rPr>
                <w:rFonts w:ascii="Calibri" w:hAnsi="Calibri"/>
                <w:sz w:val="24"/>
                <w:szCs w:val="24"/>
              </w:rPr>
            </w:pPr>
            <w:r>
              <w:rPr>
                <w:rFonts w:hint="eastAsia" w:ascii="Calibri" w:hAnsi="Calibri"/>
                <w:sz w:val="24"/>
                <w:szCs w:val="24"/>
              </w:rPr>
              <w:t>数量</w:t>
            </w:r>
          </w:p>
        </w:tc>
        <w:tc>
          <w:tcPr>
            <w:tcW w:w="1065" w:type="dxa"/>
            <w:shd w:val="clear" w:color="auto" w:fill="auto"/>
          </w:tcPr>
          <w:p>
            <w:pPr>
              <w:spacing w:line="360" w:lineRule="auto"/>
              <w:jc w:val="center"/>
              <w:rPr>
                <w:rFonts w:ascii="Calibri" w:hAnsi="Calibri"/>
                <w:sz w:val="24"/>
                <w:szCs w:val="24"/>
              </w:rPr>
            </w:pPr>
            <w:r>
              <w:rPr>
                <w:rFonts w:hint="eastAsia" w:ascii="Calibri" w:hAnsi="Calibri"/>
                <w:sz w:val="24"/>
                <w:szCs w:val="24"/>
              </w:rPr>
              <w:t>移交人</w:t>
            </w:r>
          </w:p>
        </w:tc>
        <w:tc>
          <w:tcPr>
            <w:tcW w:w="1235" w:type="dxa"/>
            <w:shd w:val="clear" w:color="auto" w:fill="auto"/>
          </w:tcPr>
          <w:p>
            <w:pPr>
              <w:spacing w:line="360" w:lineRule="auto"/>
              <w:jc w:val="center"/>
              <w:rPr>
                <w:rFonts w:ascii="Calibri" w:hAnsi="Calibri"/>
                <w:sz w:val="24"/>
                <w:szCs w:val="24"/>
              </w:rPr>
            </w:pPr>
            <w:r>
              <w:rPr>
                <w:rFonts w:hint="eastAsia" w:ascii="Calibri" w:hAnsi="Calibri"/>
                <w:sz w:val="24"/>
                <w:szCs w:val="24"/>
              </w:rPr>
              <w:t>所在部门</w:t>
            </w:r>
          </w:p>
        </w:tc>
        <w:tc>
          <w:tcPr>
            <w:tcW w:w="992" w:type="dxa"/>
            <w:shd w:val="clear" w:color="auto" w:fill="auto"/>
          </w:tcPr>
          <w:p>
            <w:pPr>
              <w:spacing w:line="360" w:lineRule="auto"/>
              <w:jc w:val="center"/>
              <w:rPr>
                <w:rFonts w:ascii="Calibri" w:hAnsi="Calibri"/>
                <w:sz w:val="24"/>
                <w:szCs w:val="24"/>
              </w:rPr>
            </w:pPr>
            <w:r>
              <w:rPr>
                <w:rFonts w:hint="eastAsia" w:ascii="Calibri" w:hAnsi="Calibri"/>
                <w:sz w:val="24"/>
                <w:szCs w:val="24"/>
              </w:rPr>
              <w:t>接收人</w:t>
            </w:r>
          </w:p>
        </w:tc>
        <w:tc>
          <w:tcPr>
            <w:tcW w:w="1276" w:type="dxa"/>
            <w:shd w:val="clear" w:color="auto" w:fill="auto"/>
          </w:tcPr>
          <w:p>
            <w:pPr>
              <w:spacing w:line="360" w:lineRule="auto"/>
              <w:jc w:val="center"/>
              <w:rPr>
                <w:rFonts w:ascii="Calibri" w:hAnsi="Calibri"/>
                <w:sz w:val="24"/>
                <w:szCs w:val="24"/>
              </w:rPr>
            </w:pPr>
            <w:r>
              <w:rPr>
                <w:rFonts w:hint="eastAsia" w:ascii="Calibri" w:hAnsi="Calibri"/>
                <w:sz w:val="24"/>
                <w:szCs w:val="24"/>
              </w:rPr>
              <w:t>所在部门</w:t>
            </w:r>
          </w:p>
        </w:tc>
        <w:tc>
          <w:tcPr>
            <w:tcW w:w="759" w:type="dxa"/>
            <w:shd w:val="clear" w:color="auto" w:fill="auto"/>
          </w:tcPr>
          <w:p>
            <w:pPr>
              <w:spacing w:line="360" w:lineRule="auto"/>
              <w:jc w:val="center"/>
              <w:rPr>
                <w:rFonts w:ascii="Calibri" w:hAnsi="Calibri"/>
                <w:sz w:val="24"/>
                <w:szCs w:val="24"/>
              </w:rPr>
            </w:pPr>
            <w:r>
              <w:rPr>
                <w:rFonts w:hint="eastAsia" w:ascii="Calibri" w:hAnsi="Calibri"/>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spacing w:line="360" w:lineRule="auto"/>
              <w:rPr>
                <w:rFonts w:ascii="Calibri" w:hAnsi="Calibri"/>
                <w:sz w:val="24"/>
                <w:szCs w:val="24"/>
              </w:rPr>
            </w:pPr>
          </w:p>
        </w:tc>
        <w:tc>
          <w:tcPr>
            <w:tcW w:w="1417" w:type="dxa"/>
            <w:shd w:val="clear" w:color="auto" w:fill="auto"/>
          </w:tcPr>
          <w:p>
            <w:pPr>
              <w:spacing w:line="360" w:lineRule="auto"/>
              <w:rPr>
                <w:rFonts w:ascii="Calibri" w:hAnsi="Calibri"/>
                <w:sz w:val="24"/>
                <w:szCs w:val="24"/>
              </w:rPr>
            </w:pPr>
          </w:p>
        </w:tc>
        <w:tc>
          <w:tcPr>
            <w:tcW w:w="819" w:type="dxa"/>
            <w:shd w:val="clear" w:color="auto" w:fill="auto"/>
          </w:tcPr>
          <w:p>
            <w:pPr>
              <w:spacing w:line="360" w:lineRule="auto"/>
              <w:rPr>
                <w:rFonts w:ascii="Calibri" w:hAnsi="Calibri"/>
                <w:sz w:val="24"/>
                <w:szCs w:val="24"/>
              </w:rPr>
            </w:pPr>
          </w:p>
        </w:tc>
        <w:tc>
          <w:tcPr>
            <w:tcW w:w="1065" w:type="dxa"/>
            <w:shd w:val="clear" w:color="auto" w:fill="auto"/>
          </w:tcPr>
          <w:p>
            <w:pPr>
              <w:spacing w:line="360" w:lineRule="auto"/>
              <w:rPr>
                <w:rFonts w:ascii="Calibri" w:hAnsi="Calibri"/>
                <w:sz w:val="24"/>
                <w:szCs w:val="24"/>
              </w:rPr>
            </w:pPr>
          </w:p>
        </w:tc>
        <w:tc>
          <w:tcPr>
            <w:tcW w:w="1235" w:type="dxa"/>
            <w:shd w:val="clear" w:color="auto" w:fill="auto"/>
          </w:tcPr>
          <w:p>
            <w:pPr>
              <w:spacing w:line="360" w:lineRule="auto"/>
              <w:rPr>
                <w:rFonts w:ascii="Calibri" w:hAnsi="Calibri"/>
                <w:sz w:val="24"/>
                <w:szCs w:val="24"/>
              </w:rPr>
            </w:pPr>
          </w:p>
        </w:tc>
        <w:tc>
          <w:tcPr>
            <w:tcW w:w="992" w:type="dxa"/>
            <w:shd w:val="clear" w:color="auto" w:fill="auto"/>
          </w:tcPr>
          <w:p>
            <w:pPr>
              <w:spacing w:line="360" w:lineRule="auto"/>
              <w:rPr>
                <w:rFonts w:ascii="Calibri" w:hAnsi="Calibri"/>
                <w:sz w:val="24"/>
                <w:szCs w:val="24"/>
              </w:rPr>
            </w:pPr>
          </w:p>
        </w:tc>
        <w:tc>
          <w:tcPr>
            <w:tcW w:w="1276" w:type="dxa"/>
            <w:shd w:val="clear" w:color="auto" w:fill="auto"/>
          </w:tcPr>
          <w:p>
            <w:pPr>
              <w:spacing w:line="360" w:lineRule="auto"/>
              <w:rPr>
                <w:rFonts w:ascii="Calibri" w:hAnsi="Calibri"/>
                <w:sz w:val="24"/>
                <w:szCs w:val="24"/>
              </w:rPr>
            </w:pPr>
          </w:p>
        </w:tc>
        <w:tc>
          <w:tcPr>
            <w:tcW w:w="759" w:type="dxa"/>
            <w:shd w:val="clear" w:color="auto" w:fill="auto"/>
          </w:tcPr>
          <w:p>
            <w:pPr>
              <w:spacing w:line="360" w:lineRule="auto"/>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spacing w:line="360" w:lineRule="auto"/>
              <w:rPr>
                <w:rFonts w:ascii="Calibri" w:hAnsi="Calibri"/>
                <w:sz w:val="24"/>
                <w:szCs w:val="24"/>
              </w:rPr>
            </w:pPr>
          </w:p>
        </w:tc>
        <w:tc>
          <w:tcPr>
            <w:tcW w:w="1417" w:type="dxa"/>
            <w:shd w:val="clear" w:color="auto" w:fill="auto"/>
          </w:tcPr>
          <w:p>
            <w:pPr>
              <w:spacing w:line="360" w:lineRule="auto"/>
              <w:rPr>
                <w:rFonts w:ascii="Calibri" w:hAnsi="Calibri"/>
                <w:sz w:val="24"/>
                <w:szCs w:val="24"/>
              </w:rPr>
            </w:pPr>
          </w:p>
        </w:tc>
        <w:tc>
          <w:tcPr>
            <w:tcW w:w="819" w:type="dxa"/>
            <w:shd w:val="clear" w:color="auto" w:fill="auto"/>
          </w:tcPr>
          <w:p>
            <w:pPr>
              <w:spacing w:line="360" w:lineRule="auto"/>
              <w:rPr>
                <w:rFonts w:ascii="Calibri" w:hAnsi="Calibri"/>
                <w:sz w:val="24"/>
                <w:szCs w:val="24"/>
              </w:rPr>
            </w:pPr>
          </w:p>
        </w:tc>
        <w:tc>
          <w:tcPr>
            <w:tcW w:w="1065" w:type="dxa"/>
            <w:shd w:val="clear" w:color="auto" w:fill="auto"/>
          </w:tcPr>
          <w:p>
            <w:pPr>
              <w:spacing w:line="360" w:lineRule="auto"/>
              <w:rPr>
                <w:rFonts w:ascii="Calibri" w:hAnsi="Calibri"/>
                <w:sz w:val="24"/>
                <w:szCs w:val="24"/>
              </w:rPr>
            </w:pPr>
          </w:p>
        </w:tc>
        <w:tc>
          <w:tcPr>
            <w:tcW w:w="1235" w:type="dxa"/>
            <w:shd w:val="clear" w:color="auto" w:fill="auto"/>
          </w:tcPr>
          <w:p>
            <w:pPr>
              <w:spacing w:line="360" w:lineRule="auto"/>
              <w:rPr>
                <w:rFonts w:ascii="Calibri" w:hAnsi="Calibri"/>
                <w:sz w:val="24"/>
                <w:szCs w:val="24"/>
              </w:rPr>
            </w:pPr>
          </w:p>
        </w:tc>
        <w:tc>
          <w:tcPr>
            <w:tcW w:w="992" w:type="dxa"/>
            <w:shd w:val="clear" w:color="auto" w:fill="auto"/>
          </w:tcPr>
          <w:p>
            <w:pPr>
              <w:spacing w:line="360" w:lineRule="auto"/>
              <w:rPr>
                <w:rFonts w:ascii="Calibri" w:hAnsi="Calibri"/>
                <w:sz w:val="24"/>
                <w:szCs w:val="24"/>
              </w:rPr>
            </w:pPr>
          </w:p>
        </w:tc>
        <w:tc>
          <w:tcPr>
            <w:tcW w:w="1276" w:type="dxa"/>
            <w:shd w:val="clear" w:color="auto" w:fill="auto"/>
          </w:tcPr>
          <w:p>
            <w:pPr>
              <w:spacing w:line="360" w:lineRule="auto"/>
              <w:rPr>
                <w:rFonts w:ascii="Calibri" w:hAnsi="Calibri"/>
                <w:sz w:val="24"/>
                <w:szCs w:val="24"/>
              </w:rPr>
            </w:pPr>
          </w:p>
        </w:tc>
        <w:tc>
          <w:tcPr>
            <w:tcW w:w="759" w:type="dxa"/>
            <w:shd w:val="clear" w:color="auto" w:fill="auto"/>
          </w:tcPr>
          <w:p>
            <w:pPr>
              <w:spacing w:line="360" w:lineRule="auto"/>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spacing w:line="360" w:lineRule="auto"/>
              <w:rPr>
                <w:rFonts w:ascii="Calibri" w:hAnsi="Calibri"/>
                <w:sz w:val="24"/>
                <w:szCs w:val="24"/>
              </w:rPr>
            </w:pPr>
          </w:p>
        </w:tc>
        <w:tc>
          <w:tcPr>
            <w:tcW w:w="1417" w:type="dxa"/>
            <w:shd w:val="clear" w:color="auto" w:fill="auto"/>
          </w:tcPr>
          <w:p>
            <w:pPr>
              <w:spacing w:line="360" w:lineRule="auto"/>
              <w:rPr>
                <w:rFonts w:ascii="Calibri" w:hAnsi="Calibri"/>
                <w:sz w:val="24"/>
                <w:szCs w:val="24"/>
              </w:rPr>
            </w:pPr>
          </w:p>
        </w:tc>
        <w:tc>
          <w:tcPr>
            <w:tcW w:w="819" w:type="dxa"/>
            <w:shd w:val="clear" w:color="auto" w:fill="auto"/>
          </w:tcPr>
          <w:p>
            <w:pPr>
              <w:spacing w:line="360" w:lineRule="auto"/>
              <w:rPr>
                <w:rFonts w:ascii="Calibri" w:hAnsi="Calibri"/>
                <w:sz w:val="24"/>
                <w:szCs w:val="24"/>
              </w:rPr>
            </w:pPr>
          </w:p>
        </w:tc>
        <w:tc>
          <w:tcPr>
            <w:tcW w:w="1065" w:type="dxa"/>
            <w:shd w:val="clear" w:color="auto" w:fill="auto"/>
          </w:tcPr>
          <w:p>
            <w:pPr>
              <w:spacing w:line="360" w:lineRule="auto"/>
              <w:rPr>
                <w:rFonts w:ascii="Calibri" w:hAnsi="Calibri"/>
                <w:sz w:val="24"/>
                <w:szCs w:val="24"/>
              </w:rPr>
            </w:pPr>
          </w:p>
        </w:tc>
        <w:tc>
          <w:tcPr>
            <w:tcW w:w="1235" w:type="dxa"/>
            <w:shd w:val="clear" w:color="auto" w:fill="auto"/>
          </w:tcPr>
          <w:p>
            <w:pPr>
              <w:spacing w:line="360" w:lineRule="auto"/>
              <w:rPr>
                <w:rFonts w:ascii="Calibri" w:hAnsi="Calibri"/>
                <w:sz w:val="24"/>
                <w:szCs w:val="24"/>
              </w:rPr>
            </w:pPr>
          </w:p>
        </w:tc>
        <w:tc>
          <w:tcPr>
            <w:tcW w:w="992" w:type="dxa"/>
            <w:shd w:val="clear" w:color="auto" w:fill="auto"/>
          </w:tcPr>
          <w:p>
            <w:pPr>
              <w:spacing w:line="360" w:lineRule="auto"/>
              <w:rPr>
                <w:rFonts w:ascii="Calibri" w:hAnsi="Calibri"/>
                <w:sz w:val="24"/>
                <w:szCs w:val="24"/>
              </w:rPr>
            </w:pPr>
          </w:p>
        </w:tc>
        <w:tc>
          <w:tcPr>
            <w:tcW w:w="1276" w:type="dxa"/>
            <w:shd w:val="clear" w:color="auto" w:fill="auto"/>
          </w:tcPr>
          <w:p>
            <w:pPr>
              <w:spacing w:line="360" w:lineRule="auto"/>
              <w:rPr>
                <w:rFonts w:ascii="Calibri" w:hAnsi="Calibri"/>
                <w:sz w:val="24"/>
                <w:szCs w:val="24"/>
              </w:rPr>
            </w:pPr>
          </w:p>
        </w:tc>
        <w:tc>
          <w:tcPr>
            <w:tcW w:w="759" w:type="dxa"/>
            <w:shd w:val="clear" w:color="auto" w:fill="auto"/>
          </w:tcPr>
          <w:p>
            <w:pPr>
              <w:spacing w:line="360" w:lineRule="auto"/>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spacing w:line="360" w:lineRule="auto"/>
              <w:rPr>
                <w:rFonts w:ascii="Calibri" w:hAnsi="Calibri"/>
                <w:sz w:val="24"/>
                <w:szCs w:val="24"/>
              </w:rPr>
            </w:pPr>
          </w:p>
        </w:tc>
        <w:tc>
          <w:tcPr>
            <w:tcW w:w="1417" w:type="dxa"/>
            <w:shd w:val="clear" w:color="auto" w:fill="auto"/>
          </w:tcPr>
          <w:p>
            <w:pPr>
              <w:spacing w:line="360" w:lineRule="auto"/>
              <w:rPr>
                <w:rFonts w:ascii="Calibri" w:hAnsi="Calibri"/>
                <w:sz w:val="24"/>
                <w:szCs w:val="24"/>
              </w:rPr>
            </w:pPr>
          </w:p>
        </w:tc>
        <w:tc>
          <w:tcPr>
            <w:tcW w:w="819" w:type="dxa"/>
            <w:shd w:val="clear" w:color="auto" w:fill="auto"/>
          </w:tcPr>
          <w:p>
            <w:pPr>
              <w:spacing w:line="360" w:lineRule="auto"/>
              <w:rPr>
                <w:rFonts w:ascii="Calibri" w:hAnsi="Calibri"/>
                <w:sz w:val="24"/>
                <w:szCs w:val="24"/>
              </w:rPr>
            </w:pPr>
          </w:p>
        </w:tc>
        <w:tc>
          <w:tcPr>
            <w:tcW w:w="1065" w:type="dxa"/>
            <w:shd w:val="clear" w:color="auto" w:fill="auto"/>
          </w:tcPr>
          <w:p>
            <w:pPr>
              <w:spacing w:line="360" w:lineRule="auto"/>
              <w:rPr>
                <w:rFonts w:ascii="Calibri" w:hAnsi="Calibri"/>
                <w:sz w:val="24"/>
                <w:szCs w:val="24"/>
              </w:rPr>
            </w:pPr>
          </w:p>
        </w:tc>
        <w:tc>
          <w:tcPr>
            <w:tcW w:w="1235" w:type="dxa"/>
            <w:shd w:val="clear" w:color="auto" w:fill="auto"/>
          </w:tcPr>
          <w:p>
            <w:pPr>
              <w:spacing w:line="360" w:lineRule="auto"/>
              <w:rPr>
                <w:rFonts w:ascii="Calibri" w:hAnsi="Calibri"/>
                <w:sz w:val="24"/>
                <w:szCs w:val="24"/>
              </w:rPr>
            </w:pPr>
          </w:p>
        </w:tc>
        <w:tc>
          <w:tcPr>
            <w:tcW w:w="992" w:type="dxa"/>
            <w:shd w:val="clear" w:color="auto" w:fill="auto"/>
          </w:tcPr>
          <w:p>
            <w:pPr>
              <w:spacing w:line="360" w:lineRule="auto"/>
              <w:rPr>
                <w:rFonts w:ascii="Calibri" w:hAnsi="Calibri"/>
                <w:sz w:val="24"/>
                <w:szCs w:val="24"/>
              </w:rPr>
            </w:pPr>
          </w:p>
        </w:tc>
        <w:tc>
          <w:tcPr>
            <w:tcW w:w="1276" w:type="dxa"/>
            <w:shd w:val="clear" w:color="auto" w:fill="auto"/>
          </w:tcPr>
          <w:p>
            <w:pPr>
              <w:spacing w:line="360" w:lineRule="auto"/>
              <w:rPr>
                <w:rFonts w:ascii="Calibri" w:hAnsi="Calibri"/>
                <w:sz w:val="24"/>
                <w:szCs w:val="24"/>
              </w:rPr>
            </w:pPr>
          </w:p>
        </w:tc>
        <w:tc>
          <w:tcPr>
            <w:tcW w:w="759" w:type="dxa"/>
            <w:shd w:val="clear" w:color="auto" w:fill="auto"/>
          </w:tcPr>
          <w:p>
            <w:pPr>
              <w:spacing w:line="360" w:lineRule="auto"/>
              <w:rPr>
                <w:rFonts w:ascii="Calibri" w:hAnsi="Calibri"/>
                <w:sz w:val="24"/>
                <w:szCs w:val="24"/>
              </w:rPr>
            </w:pPr>
          </w:p>
        </w:tc>
      </w:tr>
    </w:tbl>
    <w:p>
      <w:pPr>
        <w:spacing w:line="360" w:lineRule="auto"/>
        <w:rPr>
          <w:szCs w:val="21"/>
        </w:rPr>
      </w:pPr>
    </w:p>
    <w:p>
      <w:pPr>
        <w:spacing w:line="360" w:lineRule="auto"/>
        <w:rPr>
          <w:szCs w:val="21"/>
        </w:rPr>
        <w:sectPr>
          <w:footerReference r:id="rId4" w:type="first"/>
          <w:footerReference r:id="rId3" w:type="default"/>
          <w:pgSz w:w="11906" w:h="16838"/>
          <w:pgMar w:top="1440" w:right="1701" w:bottom="1440" w:left="1800" w:header="851" w:footer="992" w:gutter="0"/>
          <w:pgNumType w:start="0"/>
          <w:cols w:space="425" w:num="1"/>
          <w:titlePg/>
          <w:docGrid w:type="lines" w:linePitch="312" w:charSpace="0"/>
        </w:sectPr>
      </w:pPr>
    </w:p>
    <w:p>
      <w:pPr>
        <w:spacing w:line="360" w:lineRule="auto"/>
        <w:outlineLvl w:val="1"/>
        <w:rPr>
          <w:rFonts w:asciiTheme="minorEastAsia" w:hAnsiTheme="minorEastAsia"/>
          <w:sz w:val="24"/>
          <w:szCs w:val="24"/>
        </w:rPr>
      </w:pPr>
      <w:bookmarkStart w:id="87" w:name="_Toc23194"/>
      <w:bookmarkStart w:id="88" w:name="_Toc403829217"/>
      <w:r>
        <w:rPr>
          <w:rFonts w:hint="eastAsia" w:asciiTheme="minorEastAsia" w:hAnsiTheme="minorEastAsia"/>
          <w:sz w:val="24"/>
          <w:szCs w:val="24"/>
        </w:rPr>
        <w:t>附件12-1：《协议签署登记表》</w:t>
      </w:r>
      <w:bookmarkEnd w:id="87"/>
      <w:bookmarkEnd w:id="88"/>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基金会协议签署登记表</w:t>
      </w:r>
    </w:p>
    <w:tbl>
      <w:tblPr>
        <w:tblStyle w:val="9"/>
        <w:tblW w:w="14219" w:type="dxa"/>
        <w:tblInd w:w="0" w:type="dxa"/>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Layout w:type="fixed"/>
        <w:tblCellMar>
          <w:top w:w="0" w:type="dxa"/>
          <w:left w:w="108" w:type="dxa"/>
          <w:bottom w:w="0" w:type="dxa"/>
          <w:right w:w="108" w:type="dxa"/>
        </w:tblCellMar>
      </w:tblPr>
      <w:tblGrid>
        <w:gridCol w:w="1435"/>
        <w:gridCol w:w="2218"/>
        <w:gridCol w:w="4081"/>
        <w:gridCol w:w="2173"/>
        <w:gridCol w:w="2156"/>
        <w:gridCol w:w="2156"/>
      </w:tblGrid>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blHeader/>
        </w:trPr>
        <w:tc>
          <w:tcPr>
            <w:tcW w:w="1435"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序号</w:t>
            </w:r>
          </w:p>
        </w:tc>
        <w:tc>
          <w:tcPr>
            <w:tcW w:w="2218"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协议签署日期</w:t>
            </w:r>
          </w:p>
        </w:tc>
        <w:tc>
          <w:tcPr>
            <w:tcW w:w="4081"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协议名称</w:t>
            </w:r>
          </w:p>
        </w:tc>
        <w:tc>
          <w:tcPr>
            <w:tcW w:w="2173"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协议合作伙伴</w:t>
            </w:r>
          </w:p>
        </w:tc>
        <w:tc>
          <w:tcPr>
            <w:tcW w:w="2156"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经办人</w:t>
            </w:r>
          </w:p>
        </w:tc>
        <w:tc>
          <w:tcPr>
            <w:tcW w:w="2156"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备注</w:t>
            </w: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435" w:type="dxa"/>
            <w:vAlign w:val="center"/>
          </w:tcPr>
          <w:p>
            <w:pPr>
              <w:spacing w:line="240" w:lineRule="exact"/>
              <w:jc w:val="center"/>
              <w:rPr>
                <w:rFonts w:ascii="宋体" w:hAnsi="宋体"/>
                <w:sz w:val="24"/>
              </w:rPr>
            </w:pPr>
            <w:r>
              <w:rPr>
                <w:rFonts w:hint="eastAsia" w:ascii="宋体" w:hAnsi="宋体"/>
                <w:sz w:val="24"/>
              </w:rPr>
              <w:t>1</w:t>
            </w:r>
          </w:p>
        </w:tc>
        <w:tc>
          <w:tcPr>
            <w:tcW w:w="2218" w:type="dxa"/>
            <w:vAlign w:val="center"/>
          </w:tcPr>
          <w:p>
            <w:pPr>
              <w:spacing w:line="240" w:lineRule="exact"/>
              <w:jc w:val="center"/>
              <w:rPr>
                <w:rFonts w:ascii="宋体" w:hAnsi="宋体"/>
                <w:sz w:val="24"/>
              </w:rPr>
            </w:pPr>
          </w:p>
        </w:tc>
        <w:tc>
          <w:tcPr>
            <w:tcW w:w="4081" w:type="dxa"/>
            <w:vAlign w:val="center"/>
          </w:tcPr>
          <w:p>
            <w:pPr>
              <w:spacing w:line="240" w:lineRule="exact"/>
              <w:jc w:val="center"/>
              <w:rPr>
                <w:rFonts w:ascii="宋体" w:hAnsi="宋体"/>
                <w:sz w:val="24"/>
              </w:rPr>
            </w:pPr>
          </w:p>
        </w:tc>
        <w:tc>
          <w:tcPr>
            <w:tcW w:w="2173"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435" w:type="dxa"/>
            <w:vAlign w:val="center"/>
          </w:tcPr>
          <w:p>
            <w:pPr>
              <w:spacing w:line="240" w:lineRule="exact"/>
              <w:jc w:val="center"/>
              <w:rPr>
                <w:rFonts w:ascii="宋体" w:hAnsi="宋体"/>
                <w:sz w:val="24"/>
              </w:rPr>
            </w:pPr>
            <w:r>
              <w:rPr>
                <w:rFonts w:hint="eastAsia" w:ascii="宋体" w:hAnsi="宋体"/>
                <w:sz w:val="24"/>
              </w:rPr>
              <w:t>2</w:t>
            </w:r>
          </w:p>
        </w:tc>
        <w:tc>
          <w:tcPr>
            <w:tcW w:w="2218" w:type="dxa"/>
            <w:vAlign w:val="center"/>
          </w:tcPr>
          <w:p>
            <w:pPr>
              <w:spacing w:line="240" w:lineRule="exact"/>
              <w:jc w:val="center"/>
              <w:rPr>
                <w:rFonts w:ascii="宋体" w:hAnsi="宋体"/>
                <w:sz w:val="24"/>
              </w:rPr>
            </w:pPr>
          </w:p>
        </w:tc>
        <w:tc>
          <w:tcPr>
            <w:tcW w:w="4081" w:type="dxa"/>
            <w:vAlign w:val="center"/>
          </w:tcPr>
          <w:p>
            <w:pPr>
              <w:spacing w:line="240" w:lineRule="exact"/>
              <w:jc w:val="center"/>
              <w:rPr>
                <w:rFonts w:ascii="宋体" w:hAnsi="宋体"/>
                <w:sz w:val="24"/>
              </w:rPr>
            </w:pPr>
          </w:p>
        </w:tc>
        <w:tc>
          <w:tcPr>
            <w:tcW w:w="2173"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435" w:type="dxa"/>
            <w:vAlign w:val="center"/>
          </w:tcPr>
          <w:p>
            <w:pPr>
              <w:spacing w:line="240" w:lineRule="exact"/>
              <w:jc w:val="center"/>
              <w:rPr>
                <w:rFonts w:ascii="宋体" w:hAnsi="宋体"/>
                <w:sz w:val="24"/>
              </w:rPr>
            </w:pPr>
            <w:r>
              <w:rPr>
                <w:rFonts w:hint="eastAsia" w:ascii="宋体" w:hAnsi="宋体"/>
                <w:sz w:val="24"/>
              </w:rPr>
              <w:t>3</w:t>
            </w:r>
          </w:p>
        </w:tc>
        <w:tc>
          <w:tcPr>
            <w:tcW w:w="2218" w:type="dxa"/>
            <w:vAlign w:val="center"/>
          </w:tcPr>
          <w:p>
            <w:pPr>
              <w:spacing w:line="240" w:lineRule="exact"/>
              <w:jc w:val="center"/>
              <w:rPr>
                <w:rFonts w:ascii="宋体" w:hAnsi="宋体"/>
                <w:sz w:val="24"/>
              </w:rPr>
            </w:pPr>
          </w:p>
        </w:tc>
        <w:tc>
          <w:tcPr>
            <w:tcW w:w="4081" w:type="dxa"/>
            <w:vAlign w:val="center"/>
          </w:tcPr>
          <w:p>
            <w:pPr>
              <w:spacing w:line="240" w:lineRule="exact"/>
              <w:jc w:val="center"/>
              <w:rPr>
                <w:rFonts w:ascii="宋体" w:hAnsi="宋体"/>
                <w:sz w:val="24"/>
              </w:rPr>
            </w:pPr>
          </w:p>
        </w:tc>
        <w:tc>
          <w:tcPr>
            <w:tcW w:w="2173"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435" w:type="dxa"/>
            <w:vAlign w:val="center"/>
          </w:tcPr>
          <w:p>
            <w:pPr>
              <w:spacing w:line="240" w:lineRule="exact"/>
              <w:jc w:val="center"/>
              <w:rPr>
                <w:rFonts w:ascii="宋体" w:hAnsi="宋体"/>
                <w:sz w:val="24"/>
              </w:rPr>
            </w:pPr>
            <w:r>
              <w:rPr>
                <w:rFonts w:hint="eastAsia" w:ascii="宋体" w:hAnsi="宋体"/>
                <w:sz w:val="24"/>
              </w:rPr>
              <w:t>4</w:t>
            </w:r>
          </w:p>
        </w:tc>
        <w:tc>
          <w:tcPr>
            <w:tcW w:w="2218" w:type="dxa"/>
            <w:vAlign w:val="center"/>
          </w:tcPr>
          <w:p>
            <w:pPr>
              <w:spacing w:line="240" w:lineRule="exact"/>
              <w:jc w:val="center"/>
              <w:rPr>
                <w:rFonts w:ascii="宋体" w:hAnsi="宋体"/>
                <w:sz w:val="24"/>
              </w:rPr>
            </w:pPr>
          </w:p>
        </w:tc>
        <w:tc>
          <w:tcPr>
            <w:tcW w:w="4081" w:type="dxa"/>
            <w:vAlign w:val="center"/>
          </w:tcPr>
          <w:p>
            <w:pPr>
              <w:spacing w:line="240" w:lineRule="exact"/>
              <w:jc w:val="center"/>
              <w:rPr>
                <w:rFonts w:ascii="宋体" w:hAnsi="宋体"/>
                <w:sz w:val="24"/>
              </w:rPr>
            </w:pPr>
          </w:p>
        </w:tc>
        <w:tc>
          <w:tcPr>
            <w:tcW w:w="2173"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435" w:type="dxa"/>
            <w:vAlign w:val="center"/>
          </w:tcPr>
          <w:p>
            <w:pPr>
              <w:spacing w:line="240" w:lineRule="exact"/>
              <w:jc w:val="center"/>
              <w:rPr>
                <w:rFonts w:ascii="宋体" w:hAnsi="宋体"/>
                <w:sz w:val="24"/>
              </w:rPr>
            </w:pPr>
            <w:r>
              <w:rPr>
                <w:rFonts w:hint="eastAsia" w:ascii="宋体" w:hAnsi="宋体"/>
                <w:sz w:val="24"/>
              </w:rPr>
              <w:t>5</w:t>
            </w:r>
          </w:p>
        </w:tc>
        <w:tc>
          <w:tcPr>
            <w:tcW w:w="2218" w:type="dxa"/>
            <w:vAlign w:val="center"/>
          </w:tcPr>
          <w:p>
            <w:pPr>
              <w:spacing w:line="240" w:lineRule="exact"/>
              <w:jc w:val="center"/>
              <w:rPr>
                <w:rFonts w:ascii="宋体" w:hAnsi="宋体"/>
                <w:sz w:val="24"/>
              </w:rPr>
            </w:pPr>
          </w:p>
        </w:tc>
        <w:tc>
          <w:tcPr>
            <w:tcW w:w="4081" w:type="dxa"/>
            <w:vAlign w:val="center"/>
          </w:tcPr>
          <w:p>
            <w:pPr>
              <w:spacing w:line="240" w:lineRule="exact"/>
              <w:jc w:val="center"/>
              <w:rPr>
                <w:rFonts w:ascii="宋体" w:hAnsi="宋体"/>
                <w:sz w:val="24"/>
              </w:rPr>
            </w:pPr>
          </w:p>
        </w:tc>
        <w:tc>
          <w:tcPr>
            <w:tcW w:w="2173"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435" w:type="dxa"/>
            <w:vAlign w:val="center"/>
          </w:tcPr>
          <w:p>
            <w:pPr>
              <w:spacing w:line="240" w:lineRule="exact"/>
              <w:jc w:val="center"/>
              <w:rPr>
                <w:rFonts w:ascii="宋体" w:hAnsi="宋体"/>
                <w:sz w:val="24"/>
              </w:rPr>
            </w:pPr>
            <w:r>
              <w:rPr>
                <w:rFonts w:hint="eastAsia" w:ascii="宋体" w:hAnsi="宋体"/>
                <w:sz w:val="24"/>
              </w:rPr>
              <w:t>6</w:t>
            </w:r>
          </w:p>
        </w:tc>
        <w:tc>
          <w:tcPr>
            <w:tcW w:w="2218" w:type="dxa"/>
            <w:vAlign w:val="center"/>
          </w:tcPr>
          <w:p>
            <w:pPr>
              <w:spacing w:line="240" w:lineRule="exact"/>
              <w:jc w:val="center"/>
              <w:rPr>
                <w:rFonts w:ascii="宋体" w:hAnsi="宋体"/>
                <w:sz w:val="24"/>
              </w:rPr>
            </w:pPr>
          </w:p>
        </w:tc>
        <w:tc>
          <w:tcPr>
            <w:tcW w:w="4081" w:type="dxa"/>
            <w:vAlign w:val="center"/>
          </w:tcPr>
          <w:p>
            <w:pPr>
              <w:spacing w:line="240" w:lineRule="exact"/>
              <w:jc w:val="center"/>
              <w:rPr>
                <w:rFonts w:ascii="宋体" w:hAnsi="宋体"/>
                <w:sz w:val="24"/>
              </w:rPr>
            </w:pPr>
          </w:p>
        </w:tc>
        <w:tc>
          <w:tcPr>
            <w:tcW w:w="2173"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435" w:type="dxa"/>
            <w:vAlign w:val="center"/>
          </w:tcPr>
          <w:p>
            <w:pPr>
              <w:spacing w:line="240" w:lineRule="exact"/>
              <w:jc w:val="center"/>
              <w:rPr>
                <w:rFonts w:ascii="宋体" w:hAnsi="宋体"/>
                <w:sz w:val="24"/>
              </w:rPr>
            </w:pPr>
            <w:r>
              <w:rPr>
                <w:rFonts w:hint="eastAsia" w:ascii="宋体" w:hAnsi="宋体"/>
                <w:sz w:val="24"/>
              </w:rPr>
              <w:t>7</w:t>
            </w:r>
          </w:p>
        </w:tc>
        <w:tc>
          <w:tcPr>
            <w:tcW w:w="2218" w:type="dxa"/>
            <w:vAlign w:val="center"/>
          </w:tcPr>
          <w:p>
            <w:pPr>
              <w:spacing w:line="240" w:lineRule="exact"/>
              <w:jc w:val="center"/>
              <w:rPr>
                <w:rFonts w:ascii="宋体" w:hAnsi="宋体"/>
                <w:sz w:val="24"/>
              </w:rPr>
            </w:pPr>
          </w:p>
        </w:tc>
        <w:tc>
          <w:tcPr>
            <w:tcW w:w="4081" w:type="dxa"/>
            <w:vAlign w:val="center"/>
          </w:tcPr>
          <w:p>
            <w:pPr>
              <w:spacing w:line="240" w:lineRule="exact"/>
              <w:jc w:val="center"/>
              <w:rPr>
                <w:rFonts w:ascii="宋体" w:hAnsi="宋体"/>
                <w:sz w:val="24"/>
              </w:rPr>
            </w:pPr>
          </w:p>
        </w:tc>
        <w:tc>
          <w:tcPr>
            <w:tcW w:w="2173"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435" w:type="dxa"/>
            <w:vAlign w:val="center"/>
          </w:tcPr>
          <w:p>
            <w:pPr>
              <w:spacing w:line="240" w:lineRule="exact"/>
              <w:jc w:val="center"/>
              <w:rPr>
                <w:rFonts w:ascii="宋体" w:hAnsi="宋体"/>
                <w:sz w:val="24"/>
              </w:rPr>
            </w:pPr>
            <w:r>
              <w:rPr>
                <w:rFonts w:hint="eastAsia" w:ascii="宋体" w:hAnsi="宋体"/>
                <w:sz w:val="24"/>
              </w:rPr>
              <w:t>8</w:t>
            </w:r>
          </w:p>
        </w:tc>
        <w:tc>
          <w:tcPr>
            <w:tcW w:w="2218" w:type="dxa"/>
            <w:vAlign w:val="center"/>
          </w:tcPr>
          <w:p>
            <w:pPr>
              <w:spacing w:line="240" w:lineRule="exact"/>
              <w:jc w:val="center"/>
              <w:rPr>
                <w:rFonts w:ascii="宋体" w:hAnsi="宋体"/>
                <w:sz w:val="24"/>
              </w:rPr>
            </w:pPr>
          </w:p>
        </w:tc>
        <w:tc>
          <w:tcPr>
            <w:tcW w:w="4081" w:type="dxa"/>
            <w:vAlign w:val="center"/>
          </w:tcPr>
          <w:p>
            <w:pPr>
              <w:spacing w:line="240" w:lineRule="exact"/>
              <w:jc w:val="center"/>
              <w:rPr>
                <w:rFonts w:ascii="宋体" w:hAnsi="宋体"/>
                <w:sz w:val="24"/>
              </w:rPr>
            </w:pPr>
          </w:p>
        </w:tc>
        <w:tc>
          <w:tcPr>
            <w:tcW w:w="2173"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435" w:type="dxa"/>
            <w:vAlign w:val="center"/>
          </w:tcPr>
          <w:p>
            <w:pPr>
              <w:spacing w:line="240" w:lineRule="exact"/>
              <w:jc w:val="center"/>
              <w:rPr>
                <w:rFonts w:ascii="宋体" w:hAnsi="宋体"/>
                <w:sz w:val="24"/>
              </w:rPr>
            </w:pPr>
            <w:r>
              <w:rPr>
                <w:rFonts w:hint="eastAsia" w:ascii="宋体" w:hAnsi="宋体"/>
                <w:sz w:val="24"/>
              </w:rPr>
              <w:t>9</w:t>
            </w:r>
          </w:p>
        </w:tc>
        <w:tc>
          <w:tcPr>
            <w:tcW w:w="2218" w:type="dxa"/>
            <w:vAlign w:val="center"/>
          </w:tcPr>
          <w:p>
            <w:pPr>
              <w:spacing w:line="240" w:lineRule="exact"/>
              <w:jc w:val="center"/>
              <w:rPr>
                <w:rFonts w:ascii="宋体" w:hAnsi="宋体"/>
                <w:sz w:val="24"/>
              </w:rPr>
            </w:pPr>
          </w:p>
        </w:tc>
        <w:tc>
          <w:tcPr>
            <w:tcW w:w="4081" w:type="dxa"/>
            <w:vAlign w:val="center"/>
          </w:tcPr>
          <w:p>
            <w:pPr>
              <w:spacing w:line="240" w:lineRule="exact"/>
              <w:jc w:val="center"/>
              <w:rPr>
                <w:rFonts w:ascii="宋体" w:hAnsi="宋体"/>
                <w:sz w:val="24"/>
              </w:rPr>
            </w:pPr>
          </w:p>
        </w:tc>
        <w:tc>
          <w:tcPr>
            <w:tcW w:w="2173"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435" w:type="dxa"/>
            <w:vAlign w:val="center"/>
          </w:tcPr>
          <w:p>
            <w:pPr>
              <w:spacing w:line="240" w:lineRule="exact"/>
              <w:jc w:val="center"/>
              <w:rPr>
                <w:rFonts w:ascii="宋体" w:hAnsi="宋体"/>
                <w:sz w:val="24"/>
              </w:rPr>
            </w:pPr>
            <w:r>
              <w:rPr>
                <w:rFonts w:hint="eastAsia" w:ascii="宋体" w:hAnsi="宋体"/>
                <w:sz w:val="24"/>
              </w:rPr>
              <w:t>10</w:t>
            </w:r>
          </w:p>
        </w:tc>
        <w:tc>
          <w:tcPr>
            <w:tcW w:w="2218" w:type="dxa"/>
            <w:vAlign w:val="center"/>
          </w:tcPr>
          <w:p>
            <w:pPr>
              <w:spacing w:line="240" w:lineRule="exact"/>
              <w:jc w:val="center"/>
              <w:rPr>
                <w:rFonts w:ascii="宋体" w:hAnsi="宋体"/>
                <w:sz w:val="24"/>
              </w:rPr>
            </w:pPr>
          </w:p>
        </w:tc>
        <w:tc>
          <w:tcPr>
            <w:tcW w:w="4081" w:type="dxa"/>
            <w:vAlign w:val="center"/>
          </w:tcPr>
          <w:p>
            <w:pPr>
              <w:spacing w:line="240" w:lineRule="exact"/>
              <w:jc w:val="center"/>
              <w:rPr>
                <w:rFonts w:ascii="宋体" w:hAnsi="宋体"/>
                <w:sz w:val="24"/>
              </w:rPr>
            </w:pPr>
          </w:p>
        </w:tc>
        <w:tc>
          <w:tcPr>
            <w:tcW w:w="2173"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c>
          <w:tcPr>
            <w:tcW w:w="2156" w:type="dxa"/>
            <w:vAlign w:val="center"/>
          </w:tcPr>
          <w:p>
            <w:pPr>
              <w:spacing w:line="240" w:lineRule="exact"/>
              <w:jc w:val="center"/>
              <w:rPr>
                <w:rFonts w:ascii="宋体" w:hAnsi="宋体"/>
                <w:sz w:val="24"/>
              </w:rPr>
            </w:pPr>
          </w:p>
        </w:tc>
      </w:tr>
    </w:tbl>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outlineLvl w:val="1"/>
        <w:rPr>
          <w:rFonts w:asciiTheme="minorEastAsia" w:hAnsiTheme="minorEastAsia"/>
          <w:sz w:val="24"/>
          <w:szCs w:val="24"/>
        </w:rPr>
      </w:pPr>
      <w:bookmarkStart w:id="89" w:name="_Toc8454"/>
      <w:bookmarkStart w:id="90" w:name="_Toc403829218"/>
      <w:r>
        <w:rPr>
          <w:rFonts w:hint="eastAsia" w:asciiTheme="minorEastAsia" w:hAnsiTheme="minorEastAsia"/>
          <w:sz w:val="24"/>
          <w:szCs w:val="24"/>
        </w:rPr>
        <w:t>附件12-2：《一般文本档案管理目录》</w:t>
      </w:r>
      <w:bookmarkEnd w:id="89"/>
      <w:bookmarkEnd w:id="90"/>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基金会一般文本档案管理目录</w:t>
      </w:r>
    </w:p>
    <w:tbl>
      <w:tblPr>
        <w:tblStyle w:val="9"/>
        <w:tblW w:w="14566" w:type="dxa"/>
        <w:tblInd w:w="0" w:type="dxa"/>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Layout w:type="fixed"/>
        <w:tblCellMar>
          <w:top w:w="0" w:type="dxa"/>
          <w:left w:w="108" w:type="dxa"/>
          <w:bottom w:w="0" w:type="dxa"/>
          <w:right w:w="108" w:type="dxa"/>
        </w:tblCellMar>
      </w:tblPr>
      <w:tblGrid>
        <w:gridCol w:w="1049"/>
        <w:gridCol w:w="3062"/>
        <w:gridCol w:w="3284"/>
        <w:gridCol w:w="1748"/>
        <w:gridCol w:w="2022"/>
        <w:gridCol w:w="1416"/>
        <w:gridCol w:w="1985"/>
      </w:tblGrid>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blHeader/>
        </w:trPr>
        <w:tc>
          <w:tcPr>
            <w:tcW w:w="1049"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序号</w:t>
            </w:r>
          </w:p>
        </w:tc>
        <w:tc>
          <w:tcPr>
            <w:tcW w:w="3062"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相关机构</w:t>
            </w:r>
          </w:p>
        </w:tc>
        <w:tc>
          <w:tcPr>
            <w:tcW w:w="3284"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文件名</w:t>
            </w:r>
          </w:p>
        </w:tc>
        <w:tc>
          <w:tcPr>
            <w:tcW w:w="1748"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生成日期</w:t>
            </w:r>
          </w:p>
        </w:tc>
        <w:tc>
          <w:tcPr>
            <w:tcW w:w="2022"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页数</w:t>
            </w:r>
          </w:p>
        </w:tc>
        <w:tc>
          <w:tcPr>
            <w:tcW w:w="1416"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文件编号</w:t>
            </w:r>
          </w:p>
        </w:tc>
        <w:tc>
          <w:tcPr>
            <w:tcW w:w="1985"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备注</w:t>
            </w: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49" w:type="dxa"/>
            <w:vMerge w:val="restart"/>
            <w:vAlign w:val="center"/>
          </w:tcPr>
          <w:p>
            <w:pPr>
              <w:spacing w:line="240" w:lineRule="exact"/>
              <w:jc w:val="center"/>
              <w:rPr>
                <w:rFonts w:ascii="宋体" w:hAnsi="宋体"/>
                <w:sz w:val="24"/>
              </w:rPr>
            </w:pPr>
            <w:r>
              <w:rPr>
                <w:rFonts w:hint="eastAsia" w:ascii="宋体" w:hAnsi="宋体"/>
                <w:sz w:val="24"/>
              </w:rPr>
              <w:t>1</w:t>
            </w:r>
          </w:p>
        </w:tc>
        <w:tc>
          <w:tcPr>
            <w:tcW w:w="3062" w:type="dxa"/>
            <w:vMerge w:val="restart"/>
            <w:vAlign w:val="center"/>
          </w:tcPr>
          <w:p>
            <w:pPr>
              <w:spacing w:line="240" w:lineRule="exact"/>
              <w:jc w:val="center"/>
              <w:rPr>
                <w:rFonts w:ascii="宋体" w:hAnsi="宋体"/>
                <w:sz w:val="24"/>
              </w:rPr>
            </w:pPr>
          </w:p>
        </w:tc>
        <w:tc>
          <w:tcPr>
            <w:tcW w:w="3284" w:type="dxa"/>
            <w:vAlign w:val="center"/>
          </w:tcPr>
          <w:p>
            <w:pPr>
              <w:spacing w:line="240" w:lineRule="exact"/>
              <w:jc w:val="center"/>
              <w:rPr>
                <w:rFonts w:ascii="宋体" w:hAnsi="宋体"/>
                <w:sz w:val="24"/>
              </w:rPr>
            </w:pPr>
          </w:p>
        </w:tc>
        <w:tc>
          <w:tcPr>
            <w:tcW w:w="1748" w:type="dxa"/>
            <w:vAlign w:val="center"/>
          </w:tcPr>
          <w:p>
            <w:pPr>
              <w:spacing w:line="240" w:lineRule="exact"/>
              <w:jc w:val="center"/>
              <w:rPr>
                <w:rFonts w:ascii="宋体" w:hAnsi="宋体"/>
                <w:sz w:val="24"/>
              </w:rPr>
            </w:pPr>
          </w:p>
        </w:tc>
        <w:tc>
          <w:tcPr>
            <w:tcW w:w="2022"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c>
          <w:tcPr>
            <w:tcW w:w="1985"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49" w:type="dxa"/>
            <w:vMerge w:val="continue"/>
            <w:vAlign w:val="center"/>
          </w:tcPr>
          <w:p>
            <w:pPr>
              <w:spacing w:line="240" w:lineRule="exact"/>
              <w:jc w:val="center"/>
              <w:rPr>
                <w:rFonts w:ascii="宋体" w:hAnsi="宋体"/>
                <w:sz w:val="24"/>
              </w:rPr>
            </w:pPr>
          </w:p>
        </w:tc>
        <w:tc>
          <w:tcPr>
            <w:tcW w:w="3062" w:type="dxa"/>
            <w:vMerge w:val="continue"/>
            <w:vAlign w:val="center"/>
          </w:tcPr>
          <w:p>
            <w:pPr>
              <w:spacing w:line="240" w:lineRule="exact"/>
              <w:jc w:val="center"/>
              <w:rPr>
                <w:rFonts w:ascii="宋体" w:hAnsi="宋体"/>
                <w:sz w:val="24"/>
              </w:rPr>
            </w:pPr>
          </w:p>
        </w:tc>
        <w:tc>
          <w:tcPr>
            <w:tcW w:w="3284" w:type="dxa"/>
            <w:vAlign w:val="center"/>
          </w:tcPr>
          <w:p>
            <w:pPr>
              <w:spacing w:line="240" w:lineRule="exact"/>
              <w:jc w:val="center"/>
              <w:rPr>
                <w:rFonts w:ascii="宋体" w:hAnsi="宋体"/>
                <w:sz w:val="24"/>
              </w:rPr>
            </w:pPr>
          </w:p>
        </w:tc>
        <w:tc>
          <w:tcPr>
            <w:tcW w:w="1748" w:type="dxa"/>
            <w:vAlign w:val="center"/>
          </w:tcPr>
          <w:p>
            <w:pPr>
              <w:spacing w:line="240" w:lineRule="exact"/>
              <w:jc w:val="center"/>
              <w:rPr>
                <w:rFonts w:ascii="宋体" w:hAnsi="宋体"/>
                <w:sz w:val="24"/>
              </w:rPr>
            </w:pPr>
          </w:p>
        </w:tc>
        <w:tc>
          <w:tcPr>
            <w:tcW w:w="2022"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c>
          <w:tcPr>
            <w:tcW w:w="1985"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49" w:type="dxa"/>
            <w:vMerge w:val="continue"/>
            <w:vAlign w:val="center"/>
          </w:tcPr>
          <w:p>
            <w:pPr>
              <w:spacing w:line="240" w:lineRule="exact"/>
              <w:jc w:val="center"/>
              <w:rPr>
                <w:rFonts w:ascii="宋体" w:hAnsi="宋体"/>
                <w:sz w:val="24"/>
              </w:rPr>
            </w:pPr>
          </w:p>
        </w:tc>
        <w:tc>
          <w:tcPr>
            <w:tcW w:w="3062" w:type="dxa"/>
            <w:vMerge w:val="continue"/>
            <w:vAlign w:val="center"/>
          </w:tcPr>
          <w:p>
            <w:pPr>
              <w:spacing w:line="240" w:lineRule="exact"/>
              <w:jc w:val="center"/>
              <w:rPr>
                <w:rFonts w:ascii="宋体" w:hAnsi="宋体"/>
                <w:sz w:val="24"/>
              </w:rPr>
            </w:pPr>
          </w:p>
        </w:tc>
        <w:tc>
          <w:tcPr>
            <w:tcW w:w="3284" w:type="dxa"/>
            <w:vAlign w:val="center"/>
          </w:tcPr>
          <w:p>
            <w:pPr>
              <w:spacing w:line="240" w:lineRule="exact"/>
              <w:jc w:val="center"/>
              <w:rPr>
                <w:rFonts w:ascii="宋体" w:hAnsi="宋体"/>
                <w:sz w:val="24"/>
              </w:rPr>
            </w:pPr>
          </w:p>
        </w:tc>
        <w:tc>
          <w:tcPr>
            <w:tcW w:w="1748" w:type="dxa"/>
            <w:vAlign w:val="center"/>
          </w:tcPr>
          <w:p>
            <w:pPr>
              <w:spacing w:line="240" w:lineRule="exact"/>
              <w:jc w:val="center"/>
              <w:rPr>
                <w:rFonts w:ascii="宋体" w:hAnsi="宋体"/>
                <w:sz w:val="24"/>
              </w:rPr>
            </w:pPr>
          </w:p>
        </w:tc>
        <w:tc>
          <w:tcPr>
            <w:tcW w:w="2022"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c>
          <w:tcPr>
            <w:tcW w:w="1985"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49" w:type="dxa"/>
            <w:vMerge w:val="continue"/>
            <w:vAlign w:val="center"/>
          </w:tcPr>
          <w:p>
            <w:pPr>
              <w:spacing w:line="240" w:lineRule="exact"/>
              <w:jc w:val="center"/>
              <w:rPr>
                <w:rFonts w:ascii="宋体" w:hAnsi="宋体"/>
                <w:sz w:val="24"/>
              </w:rPr>
            </w:pPr>
          </w:p>
        </w:tc>
        <w:tc>
          <w:tcPr>
            <w:tcW w:w="3062" w:type="dxa"/>
            <w:vMerge w:val="continue"/>
            <w:vAlign w:val="center"/>
          </w:tcPr>
          <w:p>
            <w:pPr>
              <w:spacing w:line="240" w:lineRule="exact"/>
              <w:jc w:val="center"/>
              <w:rPr>
                <w:rFonts w:ascii="宋体" w:hAnsi="宋体"/>
                <w:sz w:val="24"/>
              </w:rPr>
            </w:pPr>
          </w:p>
        </w:tc>
        <w:tc>
          <w:tcPr>
            <w:tcW w:w="3284" w:type="dxa"/>
            <w:vAlign w:val="center"/>
          </w:tcPr>
          <w:p>
            <w:pPr>
              <w:spacing w:line="240" w:lineRule="exact"/>
              <w:jc w:val="center"/>
              <w:rPr>
                <w:rFonts w:ascii="宋体" w:hAnsi="宋体"/>
                <w:sz w:val="24"/>
              </w:rPr>
            </w:pPr>
          </w:p>
        </w:tc>
        <w:tc>
          <w:tcPr>
            <w:tcW w:w="1748" w:type="dxa"/>
            <w:vAlign w:val="center"/>
          </w:tcPr>
          <w:p>
            <w:pPr>
              <w:spacing w:line="240" w:lineRule="exact"/>
              <w:jc w:val="center"/>
              <w:rPr>
                <w:rFonts w:ascii="宋体" w:hAnsi="宋体"/>
                <w:sz w:val="24"/>
              </w:rPr>
            </w:pPr>
          </w:p>
        </w:tc>
        <w:tc>
          <w:tcPr>
            <w:tcW w:w="2022"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c>
          <w:tcPr>
            <w:tcW w:w="1985"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49" w:type="dxa"/>
            <w:vMerge w:val="restart"/>
            <w:vAlign w:val="center"/>
          </w:tcPr>
          <w:p>
            <w:pPr>
              <w:spacing w:line="240" w:lineRule="exact"/>
              <w:jc w:val="center"/>
              <w:rPr>
                <w:rFonts w:ascii="宋体" w:hAnsi="宋体"/>
                <w:sz w:val="24"/>
              </w:rPr>
            </w:pPr>
            <w:r>
              <w:rPr>
                <w:rFonts w:hint="eastAsia" w:ascii="宋体" w:hAnsi="宋体"/>
                <w:sz w:val="24"/>
              </w:rPr>
              <w:t>2</w:t>
            </w:r>
          </w:p>
        </w:tc>
        <w:tc>
          <w:tcPr>
            <w:tcW w:w="3062" w:type="dxa"/>
            <w:vMerge w:val="restart"/>
            <w:vAlign w:val="center"/>
          </w:tcPr>
          <w:p>
            <w:pPr>
              <w:spacing w:line="240" w:lineRule="exact"/>
              <w:jc w:val="center"/>
              <w:rPr>
                <w:rFonts w:ascii="宋体" w:hAnsi="宋体"/>
                <w:sz w:val="24"/>
              </w:rPr>
            </w:pPr>
          </w:p>
        </w:tc>
        <w:tc>
          <w:tcPr>
            <w:tcW w:w="3284" w:type="dxa"/>
            <w:vAlign w:val="center"/>
          </w:tcPr>
          <w:p>
            <w:pPr>
              <w:spacing w:line="240" w:lineRule="exact"/>
              <w:jc w:val="center"/>
              <w:rPr>
                <w:rFonts w:ascii="宋体" w:hAnsi="宋体"/>
                <w:sz w:val="24"/>
              </w:rPr>
            </w:pPr>
          </w:p>
        </w:tc>
        <w:tc>
          <w:tcPr>
            <w:tcW w:w="1748" w:type="dxa"/>
            <w:vAlign w:val="center"/>
          </w:tcPr>
          <w:p>
            <w:pPr>
              <w:spacing w:line="240" w:lineRule="exact"/>
              <w:jc w:val="center"/>
              <w:rPr>
                <w:rFonts w:ascii="宋体" w:hAnsi="宋体"/>
                <w:sz w:val="24"/>
              </w:rPr>
            </w:pPr>
          </w:p>
        </w:tc>
        <w:tc>
          <w:tcPr>
            <w:tcW w:w="2022"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c>
          <w:tcPr>
            <w:tcW w:w="1985"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49" w:type="dxa"/>
            <w:vMerge w:val="continue"/>
            <w:vAlign w:val="center"/>
          </w:tcPr>
          <w:p>
            <w:pPr>
              <w:spacing w:line="240" w:lineRule="exact"/>
              <w:jc w:val="center"/>
              <w:rPr>
                <w:rFonts w:ascii="宋体" w:hAnsi="宋体"/>
                <w:sz w:val="24"/>
              </w:rPr>
            </w:pPr>
          </w:p>
        </w:tc>
        <w:tc>
          <w:tcPr>
            <w:tcW w:w="3062" w:type="dxa"/>
            <w:vMerge w:val="continue"/>
            <w:vAlign w:val="center"/>
          </w:tcPr>
          <w:p>
            <w:pPr>
              <w:spacing w:line="240" w:lineRule="exact"/>
              <w:jc w:val="center"/>
              <w:rPr>
                <w:rFonts w:ascii="宋体" w:hAnsi="宋体"/>
                <w:sz w:val="24"/>
              </w:rPr>
            </w:pPr>
          </w:p>
        </w:tc>
        <w:tc>
          <w:tcPr>
            <w:tcW w:w="3284" w:type="dxa"/>
            <w:vAlign w:val="center"/>
          </w:tcPr>
          <w:p>
            <w:pPr>
              <w:spacing w:line="240" w:lineRule="exact"/>
              <w:jc w:val="center"/>
              <w:rPr>
                <w:rFonts w:ascii="宋体" w:hAnsi="宋体"/>
                <w:sz w:val="24"/>
              </w:rPr>
            </w:pPr>
          </w:p>
        </w:tc>
        <w:tc>
          <w:tcPr>
            <w:tcW w:w="1748" w:type="dxa"/>
            <w:vAlign w:val="center"/>
          </w:tcPr>
          <w:p>
            <w:pPr>
              <w:spacing w:line="240" w:lineRule="exact"/>
              <w:jc w:val="center"/>
              <w:rPr>
                <w:rFonts w:ascii="宋体" w:hAnsi="宋体"/>
                <w:sz w:val="24"/>
              </w:rPr>
            </w:pPr>
          </w:p>
        </w:tc>
        <w:tc>
          <w:tcPr>
            <w:tcW w:w="2022"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c>
          <w:tcPr>
            <w:tcW w:w="1985"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49" w:type="dxa"/>
            <w:vMerge w:val="continue"/>
            <w:vAlign w:val="center"/>
          </w:tcPr>
          <w:p>
            <w:pPr>
              <w:spacing w:line="240" w:lineRule="exact"/>
              <w:jc w:val="center"/>
              <w:rPr>
                <w:rFonts w:ascii="宋体" w:hAnsi="宋体"/>
                <w:sz w:val="24"/>
              </w:rPr>
            </w:pPr>
          </w:p>
        </w:tc>
        <w:tc>
          <w:tcPr>
            <w:tcW w:w="3062" w:type="dxa"/>
            <w:vMerge w:val="continue"/>
            <w:vAlign w:val="center"/>
          </w:tcPr>
          <w:p>
            <w:pPr>
              <w:spacing w:line="240" w:lineRule="exact"/>
              <w:jc w:val="center"/>
              <w:rPr>
                <w:rFonts w:ascii="宋体" w:hAnsi="宋体"/>
                <w:sz w:val="24"/>
              </w:rPr>
            </w:pPr>
          </w:p>
        </w:tc>
        <w:tc>
          <w:tcPr>
            <w:tcW w:w="3284" w:type="dxa"/>
            <w:vAlign w:val="center"/>
          </w:tcPr>
          <w:p>
            <w:pPr>
              <w:spacing w:line="240" w:lineRule="exact"/>
              <w:jc w:val="center"/>
              <w:rPr>
                <w:rFonts w:ascii="宋体" w:hAnsi="宋体"/>
                <w:sz w:val="24"/>
              </w:rPr>
            </w:pPr>
          </w:p>
        </w:tc>
        <w:tc>
          <w:tcPr>
            <w:tcW w:w="1748" w:type="dxa"/>
            <w:vAlign w:val="center"/>
          </w:tcPr>
          <w:p>
            <w:pPr>
              <w:spacing w:line="240" w:lineRule="exact"/>
              <w:jc w:val="center"/>
              <w:rPr>
                <w:rFonts w:ascii="宋体" w:hAnsi="宋体"/>
                <w:sz w:val="24"/>
              </w:rPr>
            </w:pPr>
          </w:p>
        </w:tc>
        <w:tc>
          <w:tcPr>
            <w:tcW w:w="2022"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c>
          <w:tcPr>
            <w:tcW w:w="1985"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49" w:type="dxa"/>
            <w:vMerge w:val="continue"/>
            <w:vAlign w:val="center"/>
          </w:tcPr>
          <w:p>
            <w:pPr>
              <w:spacing w:line="240" w:lineRule="exact"/>
              <w:jc w:val="center"/>
              <w:rPr>
                <w:rFonts w:ascii="宋体" w:hAnsi="宋体"/>
                <w:sz w:val="24"/>
              </w:rPr>
            </w:pPr>
          </w:p>
        </w:tc>
        <w:tc>
          <w:tcPr>
            <w:tcW w:w="3062" w:type="dxa"/>
            <w:vMerge w:val="continue"/>
            <w:vAlign w:val="center"/>
          </w:tcPr>
          <w:p>
            <w:pPr>
              <w:spacing w:line="240" w:lineRule="exact"/>
              <w:jc w:val="center"/>
              <w:rPr>
                <w:rFonts w:ascii="宋体" w:hAnsi="宋体"/>
                <w:sz w:val="24"/>
              </w:rPr>
            </w:pPr>
          </w:p>
        </w:tc>
        <w:tc>
          <w:tcPr>
            <w:tcW w:w="3284" w:type="dxa"/>
            <w:vAlign w:val="center"/>
          </w:tcPr>
          <w:p>
            <w:pPr>
              <w:spacing w:line="240" w:lineRule="exact"/>
              <w:jc w:val="center"/>
              <w:rPr>
                <w:rFonts w:ascii="宋体" w:hAnsi="宋体"/>
                <w:sz w:val="24"/>
              </w:rPr>
            </w:pPr>
          </w:p>
        </w:tc>
        <w:tc>
          <w:tcPr>
            <w:tcW w:w="1748" w:type="dxa"/>
            <w:vAlign w:val="center"/>
          </w:tcPr>
          <w:p>
            <w:pPr>
              <w:spacing w:line="240" w:lineRule="exact"/>
              <w:jc w:val="center"/>
              <w:rPr>
                <w:rFonts w:ascii="宋体" w:hAnsi="宋体"/>
                <w:sz w:val="24"/>
              </w:rPr>
            </w:pPr>
          </w:p>
        </w:tc>
        <w:tc>
          <w:tcPr>
            <w:tcW w:w="2022"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c>
          <w:tcPr>
            <w:tcW w:w="1985"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49" w:type="dxa"/>
            <w:vMerge w:val="restart"/>
            <w:vAlign w:val="center"/>
          </w:tcPr>
          <w:p>
            <w:pPr>
              <w:spacing w:line="240" w:lineRule="exact"/>
              <w:jc w:val="center"/>
              <w:rPr>
                <w:rFonts w:ascii="宋体" w:hAnsi="宋体"/>
                <w:sz w:val="24"/>
              </w:rPr>
            </w:pPr>
            <w:r>
              <w:rPr>
                <w:rFonts w:hint="eastAsia" w:ascii="宋体" w:hAnsi="宋体"/>
                <w:sz w:val="24"/>
              </w:rPr>
              <w:t>3</w:t>
            </w:r>
          </w:p>
        </w:tc>
        <w:tc>
          <w:tcPr>
            <w:tcW w:w="3062" w:type="dxa"/>
            <w:vMerge w:val="restart"/>
            <w:vAlign w:val="center"/>
          </w:tcPr>
          <w:p>
            <w:pPr>
              <w:spacing w:line="240" w:lineRule="exact"/>
              <w:jc w:val="center"/>
              <w:rPr>
                <w:rFonts w:ascii="宋体" w:hAnsi="宋体"/>
                <w:sz w:val="24"/>
              </w:rPr>
            </w:pPr>
          </w:p>
        </w:tc>
        <w:tc>
          <w:tcPr>
            <w:tcW w:w="3284" w:type="dxa"/>
            <w:vAlign w:val="center"/>
          </w:tcPr>
          <w:p>
            <w:pPr>
              <w:spacing w:line="240" w:lineRule="exact"/>
              <w:jc w:val="center"/>
              <w:rPr>
                <w:rFonts w:ascii="宋体" w:hAnsi="宋体"/>
                <w:sz w:val="24"/>
              </w:rPr>
            </w:pPr>
          </w:p>
        </w:tc>
        <w:tc>
          <w:tcPr>
            <w:tcW w:w="1748" w:type="dxa"/>
            <w:vAlign w:val="center"/>
          </w:tcPr>
          <w:p>
            <w:pPr>
              <w:spacing w:line="240" w:lineRule="exact"/>
              <w:jc w:val="center"/>
              <w:rPr>
                <w:rFonts w:ascii="宋体" w:hAnsi="宋体"/>
                <w:sz w:val="24"/>
              </w:rPr>
            </w:pPr>
          </w:p>
        </w:tc>
        <w:tc>
          <w:tcPr>
            <w:tcW w:w="2022"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c>
          <w:tcPr>
            <w:tcW w:w="1985"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49" w:type="dxa"/>
            <w:vMerge w:val="continue"/>
            <w:vAlign w:val="center"/>
          </w:tcPr>
          <w:p>
            <w:pPr>
              <w:spacing w:line="240" w:lineRule="exact"/>
              <w:jc w:val="center"/>
              <w:rPr>
                <w:rFonts w:ascii="宋体" w:hAnsi="宋体"/>
                <w:sz w:val="24"/>
              </w:rPr>
            </w:pPr>
          </w:p>
        </w:tc>
        <w:tc>
          <w:tcPr>
            <w:tcW w:w="3062" w:type="dxa"/>
            <w:vMerge w:val="continue"/>
            <w:vAlign w:val="center"/>
          </w:tcPr>
          <w:p>
            <w:pPr>
              <w:spacing w:line="240" w:lineRule="exact"/>
              <w:jc w:val="center"/>
              <w:rPr>
                <w:rFonts w:ascii="宋体" w:hAnsi="宋体"/>
                <w:sz w:val="24"/>
              </w:rPr>
            </w:pPr>
          </w:p>
        </w:tc>
        <w:tc>
          <w:tcPr>
            <w:tcW w:w="3284" w:type="dxa"/>
            <w:vAlign w:val="center"/>
          </w:tcPr>
          <w:p>
            <w:pPr>
              <w:spacing w:line="240" w:lineRule="exact"/>
              <w:jc w:val="center"/>
              <w:rPr>
                <w:rFonts w:ascii="宋体" w:hAnsi="宋体"/>
                <w:sz w:val="24"/>
              </w:rPr>
            </w:pPr>
          </w:p>
        </w:tc>
        <w:tc>
          <w:tcPr>
            <w:tcW w:w="1748" w:type="dxa"/>
            <w:vAlign w:val="center"/>
          </w:tcPr>
          <w:p>
            <w:pPr>
              <w:spacing w:line="240" w:lineRule="exact"/>
              <w:jc w:val="center"/>
              <w:rPr>
                <w:rFonts w:ascii="宋体" w:hAnsi="宋体"/>
                <w:sz w:val="24"/>
              </w:rPr>
            </w:pPr>
          </w:p>
        </w:tc>
        <w:tc>
          <w:tcPr>
            <w:tcW w:w="2022"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c>
          <w:tcPr>
            <w:tcW w:w="1985"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49" w:type="dxa"/>
            <w:vMerge w:val="continue"/>
            <w:vAlign w:val="center"/>
          </w:tcPr>
          <w:p>
            <w:pPr>
              <w:spacing w:line="240" w:lineRule="exact"/>
              <w:jc w:val="center"/>
              <w:rPr>
                <w:rFonts w:ascii="宋体" w:hAnsi="宋体"/>
                <w:sz w:val="24"/>
              </w:rPr>
            </w:pPr>
          </w:p>
        </w:tc>
        <w:tc>
          <w:tcPr>
            <w:tcW w:w="3062" w:type="dxa"/>
            <w:vMerge w:val="continue"/>
            <w:vAlign w:val="center"/>
          </w:tcPr>
          <w:p>
            <w:pPr>
              <w:spacing w:line="240" w:lineRule="exact"/>
              <w:jc w:val="center"/>
              <w:rPr>
                <w:rFonts w:ascii="宋体" w:hAnsi="宋体"/>
                <w:sz w:val="24"/>
              </w:rPr>
            </w:pPr>
          </w:p>
        </w:tc>
        <w:tc>
          <w:tcPr>
            <w:tcW w:w="3284" w:type="dxa"/>
            <w:vAlign w:val="center"/>
          </w:tcPr>
          <w:p>
            <w:pPr>
              <w:spacing w:line="240" w:lineRule="exact"/>
              <w:jc w:val="center"/>
              <w:rPr>
                <w:rFonts w:ascii="宋体" w:hAnsi="宋体"/>
                <w:sz w:val="24"/>
              </w:rPr>
            </w:pPr>
          </w:p>
        </w:tc>
        <w:tc>
          <w:tcPr>
            <w:tcW w:w="1748" w:type="dxa"/>
            <w:vAlign w:val="center"/>
          </w:tcPr>
          <w:p>
            <w:pPr>
              <w:spacing w:line="240" w:lineRule="exact"/>
              <w:jc w:val="center"/>
              <w:rPr>
                <w:rFonts w:ascii="宋体" w:hAnsi="宋体"/>
                <w:sz w:val="24"/>
              </w:rPr>
            </w:pPr>
          </w:p>
        </w:tc>
        <w:tc>
          <w:tcPr>
            <w:tcW w:w="2022"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c>
          <w:tcPr>
            <w:tcW w:w="1985"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49" w:type="dxa"/>
            <w:vMerge w:val="continue"/>
            <w:vAlign w:val="center"/>
          </w:tcPr>
          <w:p>
            <w:pPr>
              <w:spacing w:line="240" w:lineRule="exact"/>
              <w:jc w:val="center"/>
              <w:rPr>
                <w:rFonts w:ascii="宋体" w:hAnsi="宋体"/>
                <w:sz w:val="24"/>
              </w:rPr>
            </w:pPr>
          </w:p>
        </w:tc>
        <w:tc>
          <w:tcPr>
            <w:tcW w:w="3062" w:type="dxa"/>
            <w:vMerge w:val="continue"/>
            <w:vAlign w:val="center"/>
          </w:tcPr>
          <w:p>
            <w:pPr>
              <w:spacing w:line="240" w:lineRule="exact"/>
              <w:jc w:val="center"/>
              <w:rPr>
                <w:rFonts w:ascii="宋体" w:hAnsi="宋体"/>
                <w:sz w:val="24"/>
              </w:rPr>
            </w:pPr>
          </w:p>
        </w:tc>
        <w:tc>
          <w:tcPr>
            <w:tcW w:w="3284" w:type="dxa"/>
            <w:vAlign w:val="center"/>
          </w:tcPr>
          <w:p>
            <w:pPr>
              <w:spacing w:line="240" w:lineRule="exact"/>
              <w:jc w:val="center"/>
              <w:rPr>
                <w:rFonts w:ascii="宋体" w:hAnsi="宋体"/>
                <w:sz w:val="24"/>
              </w:rPr>
            </w:pPr>
          </w:p>
        </w:tc>
        <w:tc>
          <w:tcPr>
            <w:tcW w:w="1748" w:type="dxa"/>
            <w:vAlign w:val="center"/>
          </w:tcPr>
          <w:p>
            <w:pPr>
              <w:spacing w:line="240" w:lineRule="exact"/>
              <w:jc w:val="center"/>
              <w:rPr>
                <w:rFonts w:ascii="宋体" w:hAnsi="宋体"/>
                <w:sz w:val="24"/>
              </w:rPr>
            </w:pPr>
          </w:p>
        </w:tc>
        <w:tc>
          <w:tcPr>
            <w:tcW w:w="2022"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c>
          <w:tcPr>
            <w:tcW w:w="1985" w:type="dxa"/>
            <w:vAlign w:val="center"/>
          </w:tcPr>
          <w:p>
            <w:pPr>
              <w:spacing w:line="240" w:lineRule="exact"/>
              <w:jc w:val="center"/>
              <w:rPr>
                <w:rFonts w:ascii="宋体" w:hAnsi="宋体"/>
                <w:sz w:val="24"/>
              </w:rPr>
            </w:pPr>
          </w:p>
        </w:tc>
      </w:tr>
    </w:tbl>
    <w:p>
      <w:pPr>
        <w:spacing w:line="500" w:lineRule="atLeast"/>
        <w:rPr>
          <w:rFonts w:ascii="宋体" w:hAnsi="宋体" w:cs="宋体"/>
          <w:sz w:val="24"/>
        </w:rPr>
        <w:sectPr>
          <w:pgSz w:w="16838" w:h="11906" w:orient="landscape"/>
          <w:pgMar w:top="1558" w:right="1134" w:bottom="993" w:left="1701" w:header="426" w:footer="583" w:gutter="0"/>
          <w:cols w:space="720" w:num="1"/>
          <w:docGrid w:linePitch="312" w:charSpace="0"/>
        </w:sectPr>
      </w:pPr>
    </w:p>
    <w:p>
      <w:pPr>
        <w:spacing w:line="360" w:lineRule="auto"/>
        <w:outlineLvl w:val="1"/>
        <w:rPr>
          <w:rFonts w:asciiTheme="minorEastAsia" w:hAnsiTheme="minorEastAsia"/>
          <w:sz w:val="24"/>
          <w:szCs w:val="24"/>
        </w:rPr>
      </w:pPr>
      <w:bookmarkStart w:id="91" w:name="_Toc403829219"/>
      <w:bookmarkStart w:id="92" w:name="_Toc10280"/>
      <w:r>
        <w:rPr>
          <w:rFonts w:hint="eastAsia" w:asciiTheme="minorEastAsia" w:hAnsiTheme="minorEastAsia"/>
          <w:sz w:val="24"/>
          <w:szCs w:val="24"/>
        </w:rPr>
        <w:t>附件12-3：《核心文本档案管理目录》</w:t>
      </w:r>
      <w:bookmarkEnd w:id="91"/>
      <w:bookmarkEnd w:id="92"/>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基金会核心文本档案管理目录</w:t>
      </w:r>
    </w:p>
    <w:tbl>
      <w:tblPr>
        <w:tblStyle w:val="9"/>
        <w:tblW w:w="14424" w:type="dxa"/>
        <w:tblInd w:w="0" w:type="dxa"/>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Layout w:type="fixed"/>
        <w:tblCellMar>
          <w:top w:w="0" w:type="dxa"/>
          <w:left w:w="108" w:type="dxa"/>
          <w:bottom w:w="0" w:type="dxa"/>
          <w:right w:w="108" w:type="dxa"/>
        </w:tblCellMar>
      </w:tblPr>
      <w:tblGrid>
        <w:gridCol w:w="951"/>
        <w:gridCol w:w="1587"/>
        <w:gridCol w:w="2787"/>
        <w:gridCol w:w="2984"/>
        <w:gridCol w:w="1593"/>
        <w:gridCol w:w="1345"/>
        <w:gridCol w:w="1486"/>
        <w:gridCol w:w="1691"/>
      </w:tblGrid>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blHeader/>
        </w:trPr>
        <w:tc>
          <w:tcPr>
            <w:tcW w:w="951"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序号</w:t>
            </w:r>
          </w:p>
        </w:tc>
        <w:tc>
          <w:tcPr>
            <w:tcW w:w="1587"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项目名称</w:t>
            </w:r>
          </w:p>
        </w:tc>
        <w:tc>
          <w:tcPr>
            <w:tcW w:w="2787"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相关机构</w:t>
            </w:r>
          </w:p>
        </w:tc>
        <w:tc>
          <w:tcPr>
            <w:tcW w:w="2984"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文件名</w:t>
            </w:r>
          </w:p>
        </w:tc>
        <w:tc>
          <w:tcPr>
            <w:tcW w:w="1593"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生成日期</w:t>
            </w:r>
          </w:p>
        </w:tc>
        <w:tc>
          <w:tcPr>
            <w:tcW w:w="1345"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页数</w:t>
            </w:r>
          </w:p>
        </w:tc>
        <w:tc>
          <w:tcPr>
            <w:tcW w:w="1486"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文件编号</w:t>
            </w:r>
          </w:p>
        </w:tc>
        <w:tc>
          <w:tcPr>
            <w:tcW w:w="1691"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备注</w:t>
            </w: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951" w:type="dxa"/>
            <w:vMerge w:val="restart"/>
            <w:vAlign w:val="center"/>
          </w:tcPr>
          <w:p>
            <w:pPr>
              <w:spacing w:line="240" w:lineRule="exact"/>
              <w:jc w:val="center"/>
              <w:rPr>
                <w:rFonts w:ascii="宋体" w:hAnsi="宋体"/>
                <w:sz w:val="24"/>
              </w:rPr>
            </w:pPr>
            <w:r>
              <w:rPr>
                <w:rFonts w:hint="eastAsia" w:ascii="宋体" w:hAnsi="宋体"/>
                <w:sz w:val="24"/>
              </w:rPr>
              <w:t>1</w:t>
            </w:r>
          </w:p>
        </w:tc>
        <w:tc>
          <w:tcPr>
            <w:tcW w:w="1587" w:type="dxa"/>
            <w:vMerge w:val="restart"/>
            <w:vAlign w:val="center"/>
          </w:tcPr>
          <w:p>
            <w:pPr>
              <w:spacing w:line="240" w:lineRule="exact"/>
              <w:jc w:val="center"/>
              <w:rPr>
                <w:rFonts w:ascii="宋体" w:hAnsi="宋体"/>
                <w:sz w:val="24"/>
              </w:rPr>
            </w:pPr>
          </w:p>
        </w:tc>
        <w:tc>
          <w:tcPr>
            <w:tcW w:w="2787" w:type="dxa"/>
            <w:vMerge w:val="restart"/>
            <w:vAlign w:val="center"/>
          </w:tcPr>
          <w:p>
            <w:pPr>
              <w:spacing w:line="240" w:lineRule="exact"/>
              <w:jc w:val="center"/>
              <w:rPr>
                <w:rFonts w:ascii="宋体" w:hAnsi="宋体"/>
                <w:sz w:val="24"/>
              </w:rPr>
            </w:pPr>
          </w:p>
        </w:tc>
        <w:tc>
          <w:tcPr>
            <w:tcW w:w="2984" w:type="dxa"/>
            <w:vAlign w:val="center"/>
          </w:tcPr>
          <w:p>
            <w:pPr>
              <w:spacing w:line="240" w:lineRule="exact"/>
              <w:jc w:val="center"/>
              <w:rPr>
                <w:rFonts w:ascii="宋体" w:hAnsi="宋体"/>
                <w:sz w:val="24"/>
              </w:rPr>
            </w:pPr>
          </w:p>
        </w:tc>
        <w:tc>
          <w:tcPr>
            <w:tcW w:w="1593" w:type="dxa"/>
            <w:vAlign w:val="center"/>
          </w:tcPr>
          <w:p>
            <w:pPr>
              <w:spacing w:line="240" w:lineRule="exact"/>
              <w:jc w:val="center"/>
              <w:rPr>
                <w:rFonts w:ascii="宋体" w:hAnsi="宋体"/>
                <w:sz w:val="24"/>
              </w:rPr>
            </w:pPr>
          </w:p>
        </w:tc>
        <w:tc>
          <w:tcPr>
            <w:tcW w:w="1345" w:type="dxa"/>
            <w:vAlign w:val="center"/>
          </w:tcPr>
          <w:p>
            <w:pPr>
              <w:spacing w:line="240" w:lineRule="exact"/>
              <w:jc w:val="center"/>
              <w:rPr>
                <w:rFonts w:ascii="宋体" w:hAnsi="宋体"/>
                <w:sz w:val="24"/>
              </w:rPr>
            </w:pPr>
          </w:p>
        </w:tc>
        <w:tc>
          <w:tcPr>
            <w:tcW w:w="1486" w:type="dxa"/>
            <w:vAlign w:val="center"/>
          </w:tcPr>
          <w:p>
            <w:pPr>
              <w:spacing w:line="240" w:lineRule="exact"/>
              <w:jc w:val="center"/>
              <w:rPr>
                <w:rFonts w:ascii="宋体" w:hAnsi="宋体"/>
                <w:sz w:val="24"/>
              </w:rPr>
            </w:pPr>
          </w:p>
        </w:tc>
        <w:tc>
          <w:tcPr>
            <w:tcW w:w="169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951" w:type="dxa"/>
            <w:vMerge w:val="continue"/>
            <w:vAlign w:val="center"/>
          </w:tcPr>
          <w:p>
            <w:pPr>
              <w:spacing w:line="240" w:lineRule="exact"/>
              <w:jc w:val="center"/>
              <w:rPr>
                <w:rFonts w:ascii="宋体" w:hAnsi="宋体"/>
                <w:sz w:val="24"/>
              </w:rPr>
            </w:pPr>
          </w:p>
        </w:tc>
        <w:tc>
          <w:tcPr>
            <w:tcW w:w="1587" w:type="dxa"/>
            <w:vMerge w:val="continue"/>
            <w:vAlign w:val="center"/>
          </w:tcPr>
          <w:p>
            <w:pPr>
              <w:spacing w:line="240" w:lineRule="exact"/>
              <w:jc w:val="center"/>
              <w:rPr>
                <w:rFonts w:ascii="宋体" w:hAnsi="宋体"/>
                <w:sz w:val="24"/>
              </w:rPr>
            </w:pPr>
          </w:p>
        </w:tc>
        <w:tc>
          <w:tcPr>
            <w:tcW w:w="2787" w:type="dxa"/>
            <w:vMerge w:val="continue"/>
            <w:vAlign w:val="center"/>
          </w:tcPr>
          <w:p>
            <w:pPr>
              <w:spacing w:line="240" w:lineRule="exact"/>
              <w:jc w:val="center"/>
              <w:rPr>
                <w:rFonts w:ascii="宋体" w:hAnsi="宋体"/>
                <w:sz w:val="24"/>
              </w:rPr>
            </w:pPr>
          </w:p>
        </w:tc>
        <w:tc>
          <w:tcPr>
            <w:tcW w:w="2984" w:type="dxa"/>
            <w:vAlign w:val="center"/>
          </w:tcPr>
          <w:p>
            <w:pPr>
              <w:spacing w:line="240" w:lineRule="exact"/>
              <w:jc w:val="center"/>
              <w:rPr>
                <w:rFonts w:ascii="宋体" w:hAnsi="宋体"/>
                <w:sz w:val="24"/>
              </w:rPr>
            </w:pPr>
          </w:p>
        </w:tc>
        <w:tc>
          <w:tcPr>
            <w:tcW w:w="1593" w:type="dxa"/>
            <w:vAlign w:val="center"/>
          </w:tcPr>
          <w:p>
            <w:pPr>
              <w:spacing w:line="240" w:lineRule="exact"/>
              <w:jc w:val="center"/>
              <w:rPr>
                <w:rFonts w:ascii="宋体" w:hAnsi="宋体"/>
                <w:sz w:val="24"/>
              </w:rPr>
            </w:pPr>
          </w:p>
        </w:tc>
        <w:tc>
          <w:tcPr>
            <w:tcW w:w="1345" w:type="dxa"/>
            <w:vAlign w:val="center"/>
          </w:tcPr>
          <w:p>
            <w:pPr>
              <w:spacing w:line="240" w:lineRule="exact"/>
              <w:jc w:val="center"/>
              <w:rPr>
                <w:rFonts w:ascii="宋体" w:hAnsi="宋体"/>
                <w:sz w:val="24"/>
              </w:rPr>
            </w:pPr>
          </w:p>
        </w:tc>
        <w:tc>
          <w:tcPr>
            <w:tcW w:w="1486" w:type="dxa"/>
            <w:vAlign w:val="center"/>
          </w:tcPr>
          <w:p>
            <w:pPr>
              <w:spacing w:line="240" w:lineRule="exact"/>
              <w:jc w:val="center"/>
              <w:rPr>
                <w:rFonts w:ascii="宋体" w:hAnsi="宋体"/>
                <w:sz w:val="24"/>
              </w:rPr>
            </w:pPr>
          </w:p>
        </w:tc>
        <w:tc>
          <w:tcPr>
            <w:tcW w:w="169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951" w:type="dxa"/>
            <w:vMerge w:val="continue"/>
            <w:vAlign w:val="center"/>
          </w:tcPr>
          <w:p>
            <w:pPr>
              <w:spacing w:line="240" w:lineRule="exact"/>
              <w:jc w:val="center"/>
              <w:rPr>
                <w:rFonts w:ascii="宋体" w:hAnsi="宋体"/>
                <w:sz w:val="24"/>
              </w:rPr>
            </w:pPr>
          </w:p>
        </w:tc>
        <w:tc>
          <w:tcPr>
            <w:tcW w:w="1587" w:type="dxa"/>
            <w:vMerge w:val="continue"/>
            <w:vAlign w:val="center"/>
          </w:tcPr>
          <w:p>
            <w:pPr>
              <w:spacing w:line="240" w:lineRule="exact"/>
              <w:jc w:val="center"/>
              <w:rPr>
                <w:rFonts w:ascii="宋体" w:hAnsi="宋体"/>
                <w:sz w:val="24"/>
              </w:rPr>
            </w:pPr>
          </w:p>
        </w:tc>
        <w:tc>
          <w:tcPr>
            <w:tcW w:w="2787" w:type="dxa"/>
            <w:vMerge w:val="continue"/>
            <w:vAlign w:val="center"/>
          </w:tcPr>
          <w:p>
            <w:pPr>
              <w:spacing w:line="240" w:lineRule="exact"/>
              <w:jc w:val="center"/>
              <w:rPr>
                <w:rFonts w:ascii="宋体" w:hAnsi="宋体"/>
                <w:sz w:val="24"/>
              </w:rPr>
            </w:pPr>
          </w:p>
        </w:tc>
        <w:tc>
          <w:tcPr>
            <w:tcW w:w="2984" w:type="dxa"/>
            <w:vAlign w:val="center"/>
          </w:tcPr>
          <w:p>
            <w:pPr>
              <w:spacing w:line="240" w:lineRule="exact"/>
              <w:jc w:val="center"/>
              <w:rPr>
                <w:rFonts w:ascii="宋体" w:hAnsi="宋体"/>
                <w:sz w:val="24"/>
              </w:rPr>
            </w:pPr>
          </w:p>
        </w:tc>
        <w:tc>
          <w:tcPr>
            <w:tcW w:w="1593" w:type="dxa"/>
            <w:vAlign w:val="center"/>
          </w:tcPr>
          <w:p>
            <w:pPr>
              <w:spacing w:line="240" w:lineRule="exact"/>
              <w:jc w:val="center"/>
              <w:rPr>
                <w:rFonts w:ascii="宋体" w:hAnsi="宋体"/>
                <w:sz w:val="24"/>
              </w:rPr>
            </w:pPr>
          </w:p>
        </w:tc>
        <w:tc>
          <w:tcPr>
            <w:tcW w:w="1345" w:type="dxa"/>
            <w:vAlign w:val="center"/>
          </w:tcPr>
          <w:p>
            <w:pPr>
              <w:spacing w:line="240" w:lineRule="exact"/>
              <w:jc w:val="center"/>
              <w:rPr>
                <w:rFonts w:ascii="宋体" w:hAnsi="宋体"/>
                <w:sz w:val="24"/>
              </w:rPr>
            </w:pPr>
          </w:p>
        </w:tc>
        <w:tc>
          <w:tcPr>
            <w:tcW w:w="1486" w:type="dxa"/>
            <w:vAlign w:val="center"/>
          </w:tcPr>
          <w:p>
            <w:pPr>
              <w:spacing w:line="240" w:lineRule="exact"/>
              <w:jc w:val="center"/>
              <w:rPr>
                <w:rFonts w:ascii="宋体" w:hAnsi="宋体"/>
                <w:sz w:val="24"/>
              </w:rPr>
            </w:pPr>
          </w:p>
        </w:tc>
        <w:tc>
          <w:tcPr>
            <w:tcW w:w="169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951" w:type="dxa"/>
            <w:vMerge w:val="continue"/>
            <w:vAlign w:val="center"/>
          </w:tcPr>
          <w:p>
            <w:pPr>
              <w:spacing w:line="240" w:lineRule="exact"/>
              <w:jc w:val="center"/>
              <w:rPr>
                <w:rFonts w:ascii="宋体" w:hAnsi="宋体"/>
                <w:sz w:val="24"/>
              </w:rPr>
            </w:pPr>
          </w:p>
        </w:tc>
        <w:tc>
          <w:tcPr>
            <w:tcW w:w="1587" w:type="dxa"/>
            <w:vMerge w:val="continue"/>
            <w:vAlign w:val="center"/>
          </w:tcPr>
          <w:p>
            <w:pPr>
              <w:spacing w:line="240" w:lineRule="exact"/>
              <w:jc w:val="center"/>
              <w:rPr>
                <w:rFonts w:ascii="宋体" w:hAnsi="宋体"/>
                <w:sz w:val="24"/>
              </w:rPr>
            </w:pPr>
          </w:p>
        </w:tc>
        <w:tc>
          <w:tcPr>
            <w:tcW w:w="2787" w:type="dxa"/>
            <w:vMerge w:val="continue"/>
            <w:vAlign w:val="center"/>
          </w:tcPr>
          <w:p>
            <w:pPr>
              <w:spacing w:line="240" w:lineRule="exact"/>
              <w:jc w:val="center"/>
              <w:rPr>
                <w:rFonts w:ascii="宋体" w:hAnsi="宋体"/>
                <w:sz w:val="24"/>
              </w:rPr>
            </w:pPr>
          </w:p>
        </w:tc>
        <w:tc>
          <w:tcPr>
            <w:tcW w:w="2984" w:type="dxa"/>
            <w:vAlign w:val="center"/>
          </w:tcPr>
          <w:p>
            <w:pPr>
              <w:spacing w:line="240" w:lineRule="exact"/>
              <w:jc w:val="center"/>
              <w:rPr>
                <w:rFonts w:ascii="宋体" w:hAnsi="宋体"/>
                <w:sz w:val="24"/>
              </w:rPr>
            </w:pPr>
          </w:p>
        </w:tc>
        <w:tc>
          <w:tcPr>
            <w:tcW w:w="1593" w:type="dxa"/>
            <w:vAlign w:val="center"/>
          </w:tcPr>
          <w:p>
            <w:pPr>
              <w:spacing w:line="240" w:lineRule="exact"/>
              <w:jc w:val="center"/>
              <w:rPr>
                <w:rFonts w:ascii="宋体" w:hAnsi="宋体"/>
                <w:sz w:val="24"/>
              </w:rPr>
            </w:pPr>
          </w:p>
        </w:tc>
        <w:tc>
          <w:tcPr>
            <w:tcW w:w="1345" w:type="dxa"/>
            <w:vAlign w:val="center"/>
          </w:tcPr>
          <w:p>
            <w:pPr>
              <w:spacing w:line="240" w:lineRule="exact"/>
              <w:jc w:val="center"/>
              <w:rPr>
                <w:rFonts w:ascii="宋体" w:hAnsi="宋体"/>
                <w:sz w:val="24"/>
              </w:rPr>
            </w:pPr>
          </w:p>
        </w:tc>
        <w:tc>
          <w:tcPr>
            <w:tcW w:w="1486" w:type="dxa"/>
            <w:vAlign w:val="center"/>
          </w:tcPr>
          <w:p>
            <w:pPr>
              <w:spacing w:line="240" w:lineRule="exact"/>
              <w:jc w:val="center"/>
              <w:rPr>
                <w:rFonts w:ascii="宋体" w:hAnsi="宋体"/>
                <w:sz w:val="24"/>
              </w:rPr>
            </w:pPr>
          </w:p>
        </w:tc>
        <w:tc>
          <w:tcPr>
            <w:tcW w:w="169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951" w:type="dxa"/>
            <w:vMerge w:val="restart"/>
            <w:vAlign w:val="center"/>
          </w:tcPr>
          <w:p>
            <w:pPr>
              <w:spacing w:line="240" w:lineRule="exact"/>
              <w:jc w:val="center"/>
              <w:rPr>
                <w:rFonts w:ascii="宋体" w:hAnsi="宋体"/>
                <w:sz w:val="24"/>
              </w:rPr>
            </w:pPr>
            <w:r>
              <w:rPr>
                <w:rFonts w:hint="eastAsia" w:ascii="宋体" w:hAnsi="宋体"/>
                <w:sz w:val="24"/>
              </w:rPr>
              <w:t>2</w:t>
            </w:r>
          </w:p>
        </w:tc>
        <w:tc>
          <w:tcPr>
            <w:tcW w:w="1587" w:type="dxa"/>
            <w:vMerge w:val="restart"/>
            <w:vAlign w:val="center"/>
          </w:tcPr>
          <w:p>
            <w:pPr>
              <w:spacing w:line="240" w:lineRule="exact"/>
              <w:jc w:val="center"/>
              <w:rPr>
                <w:rFonts w:ascii="宋体" w:hAnsi="宋体"/>
                <w:sz w:val="24"/>
              </w:rPr>
            </w:pPr>
          </w:p>
        </w:tc>
        <w:tc>
          <w:tcPr>
            <w:tcW w:w="2787" w:type="dxa"/>
            <w:vMerge w:val="restart"/>
            <w:vAlign w:val="center"/>
          </w:tcPr>
          <w:p>
            <w:pPr>
              <w:spacing w:line="240" w:lineRule="exact"/>
              <w:jc w:val="center"/>
              <w:rPr>
                <w:rFonts w:ascii="宋体" w:hAnsi="宋体"/>
                <w:sz w:val="24"/>
              </w:rPr>
            </w:pPr>
          </w:p>
        </w:tc>
        <w:tc>
          <w:tcPr>
            <w:tcW w:w="2984" w:type="dxa"/>
            <w:vAlign w:val="center"/>
          </w:tcPr>
          <w:p>
            <w:pPr>
              <w:spacing w:line="240" w:lineRule="exact"/>
              <w:jc w:val="center"/>
              <w:rPr>
                <w:rFonts w:ascii="宋体" w:hAnsi="宋体"/>
                <w:sz w:val="24"/>
              </w:rPr>
            </w:pPr>
          </w:p>
        </w:tc>
        <w:tc>
          <w:tcPr>
            <w:tcW w:w="1593" w:type="dxa"/>
            <w:vAlign w:val="center"/>
          </w:tcPr>
          <w:p>
            <w:pPr>
              <w:spacing w:line="240" w:lineRule="exact"/>
              <w:jc w:val="center"/>
              <w:rPr>
                <w:rFonts w:ascii="宋体" w:hAnsi="宋体"/>
                <w:sz w:val="24"/>
              </w:rPr>
            </w:pPr>
          </w:p>
        </w:tc>
        <w:tc>
          <w:tcPr>
            <w:tcW w:w="1345" w:type="dxa"/>
            <w:vAlign w:val="center"/>
          </w:tcPr>
          <w:p>
            <w:pPr>
              <w:spacing w:line="240" w:lineRule="exact"/>
              <w:jc w:val="center"/>
              <w:rPr>
                <w:rFonts w:ascii="宋体" w:hAnsi="宋体"/>
                <w:sz w:val="24"/>
              </w:rPr>
            </w:pPr>
          </w:p>
        </w:tc>
        <w:tc>
          <w:tcPr>
            <w:tcW w:w="1486" w:type="dxa"/>
            <w:vAlign w:val="center"/>
          </w:tcPr>
          <w:p>
            <w:pPr>
              <w:spacing w:line="240" w:lineRule="exact"/>
              <w:jc w:val="center"/>
              <w:rPr>
                <w:rFonts w:ascii="宋体" w:hAnsi="宋体"/>
                <w:sz w:val="24"/>
              </w:rPr>
            </w:pPr>
          </w:p>
        </w:tc>
        <w:tc>
          <w:tcPr>
            <w:tcW w:w="169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951" w:type="dxa"/>
            <w:vMerge w:val="continue"/>
            <w:vAlign w:val="center"/>
          </w:tcPr>
          <w:p>
            <w:pPr>
              <w:spacing w:line="240" w:lineRule="exact"/>
              <w:jc w:val="center"/>
              <w:rPr>
                <w:rFonts w:ascii="宋体" w:hAnsi="宋体"/>
                <w:sz w:val="24"/>
              </w:rPr>
            </w:pPr>
          </w:p>
        </w:tc>
        <w:tc>
          <w:tcPr>
            <w:tcW w:w="1587" w:type="dxa"/>
            <w:vMerge w:val="continue"/>
            <w:vAlign w:val="center"/>
          </w:tcPr>
          <w:p>
            <w:pPr>
              <w:spacing w:line="240" w:lineRule="exact"/>
              <w:jc w:val="center"/>
              <w:rPr>
                <w:rFonts w:ascii="宋体" w:hAnsi="宋体"/>
                <w:sz w:val="24"/>
              </w:rPr>
            </w:pPr>
          </w:p>
        </w:tc>
        <w:tc>
          <w:tcPr>
            <w:tcW w:w="2787" w:type="dxa"/>
            <w:vMerge w:val="continue"/>
            <w:vAlign w:val="center"/>
          </w:tcPr>
          <w:p>
            <w:pPr>
              <w:spacing w:line="240" w:lineRule="exact"/>
              <w:jc w:val="center"/>
              <w:rPr>
                <w:rFonts w:ascii="宋体" w:hAnsi="宋体"/>
                <w:sz w:val="24"/>
              </w:rPr>
            </w:pPr>
          </w:p>
        </w:tc>
        <w:tc>
          <w:tcPr>
            <w:tcW w:w="2984" w:type="dxa"/>
            <w:vAlign w:val="center"/>
          </w:tcPr>
          <w:p>
            <w:pPr>
              <w:spacing w:line="240" w:lineRule="exact"/>
              <w:jc w:val="center"/>
              <w:rPr>
                <w:rFonts w:ascii="宋体" w:hAnsi="宋体"/>
                <w:sz w:val="24"/>
              </w:rPr>
            </w:pPr>
          </w:p>
        </w:tc>
        <w:tc>
          <w:tcPr>
            <w:tcW w:w="1593" w:type="dxa"/>
            <w:vAlign w:val="center"/>
          </w:tcPr>
          <w:p>
            <w:pPr>
              <w:spacing w:line="240" w:lineRule="exact"/>
              <w:jc w:val="center"/>
              <w:rPr>
                <w:rFonts w:ascii="宋体" w:hAnsi="宋体"/>
                <w:sz w:val="24"/>
              </w:rPr>
            </w:pPr>
          </w:p>
        </w:tc>
        <w:tc>
          <w:tcPr>
            <w:tcW w:w="1345" w:type="dxa"/>
            <w:vAlign w:val="center"/>
          </w:tcPr>
          <w:p>
            <w:pPr>
              <w:spacing w:line="240" w:lineRule="exact"/>
              <w:jc w:val="center"/>
              <w:rPr>
                <w:rFonts w:ascii="宋体" w:hAnsi="宋体"/>
                <w:sz w:val="24"/>
              </w:rPr>
            </w:pPr>
          </w:p>
        </w:tc>
        <w:tc>
          <w:tcPr>
            <w:tcW w:w="1486" w:type="dxa"/>
            <w:vAlign w:val="center"/>
          </w:tcPr>
          <w:p>
            <w:pPr>
              <w:spacing w:line="240" w:lineRule="exact"/>
              <w:jc w:val="center"/>
              <w:rPr>
                <w:rFonts w:ascii="宋体" w:hAnsi="宋体"/>
                <w:sz w:val="24"/>
              </w:rPr>
            </w:pPr>
          </w:p>
        </w:tc>
        <w:tc>
          <w:tcPr>
            <w:tcW w:w="169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951" w:type="dxa"/>
            <w:vMerge w:val="continue"/>
            <w:vAlign w:val="center"/>
          </w:tcPr>
          <w:p>
            <w:pPr>
              <w:spacing w:line="240" w:lineRule="exact"/>
              <w:jc w:val="center"/>
              <w:rPr>
                <w:rFonts w:ascii="宋体" w:hAnsi="宋体"/>
                <w:sz w:val="24"/>
              </w:rPr>
            </w:pPr>
          </w:p>
        </w:tc>
        <w:tc>
          <w:tcPr>
            <w:tcW w:w="1587" w:type="dxa"/>
            <w:vMerge w:val="continue"/>
            <w:vAlign w:val="center"/>
          </w:tcPr>
          <w:p>
            <w:pPr>
              <w:spacing w:line="240" w:lineRule="exact"/>
              <w:jc w:val="center"/>
              <w:rPr>
                <w:rFonts w:ascii="宋体" w:hAnsi="宋体"/>
                <w:sz w:val="24"/>
              </w:rPr>
            </w:pPr>
          </w:p>
        </w:tc>
        <w:tc>
          <w:tcPr>
            <w:tcW w:w="2787" w:type="dxa"/>
            <w:vMerge w:val="continue"/>
            <w:vAlign w:val="center"/>
          </w:tcPr>
          <w:p>
            <w:pPr>
              <w:spacing w:line="240" w:lineRule="exact"/>
              <w:jc w:val="center"/>
              <w:rPr>
                <w:rFonts w:ascii="宋体" w:hAnsi="宋体"/>
                <w:sz w:val="24"/>
              </w:rPr>
            </w:pPr>
          </w:p>
        </w:tc>
        <w:tc>
          <w:tcPr>
            <w:tcW w:w="2984" w:type="dxa"/>
            <w:vAlign w:val="center"/>
          </w:tcPr>
          <w:p>
            <w:pPr>
              <w:spacing w:line="240" w:lineRule="exact"/>
              <w:jc w:val="center"/>
              <w:rPr>
                <w:rFonts w:ascii="宋体" w:hAnsi="宋体"/>
                <w:sz w:val="24"/>
              </w:rPr>
            </w:pPr>
          </w:p>
        </w:tc>
        <w:tc>
          <w:tcPr>
            <w:tcW w:w="1593" w:type="dxa"/>
            <w:vAlign w:val="center"/>
          </w:tcPr>
          <w:p>
            <w:pPr>
              <w:spacing w:line="240" w:lineRule="exact"/>
              <w:jc w:val="center"/>
              <w:rPr>
                <w:rFonts w:ascii="宋体" w:hAnsi="宋体"/>
                <w:sz w:val="24"/>
              </w:rPr>
            </w:pPr>
          </w:p>
        </w:tc>
        <w:tc>
          <w:tcPr>
            <w:tcW w:w="1345" w:type="dxa"/>
            <w:vAlign w:val="center"/>
          </w:tcPr>
          <w:p>
            <w:pPr>
              <w:spacing w:line="240" w:lineRule="exact"/>
              <w:jc w:val="center"/>
              <w:rPr>
                <w:rFonts w:ascii="宋体" w:hAnsi="宋体"/>
                <w:sz w:val="24"/>
              </w:rPr>
            </w:pPr>
          </w:p>
        </w:tc>
        <w:tc>
          <w:tcPr>
            <w:tcW w:w="1486" w:type="dxa"/>
            <w:vAlign w:val="center"/>
          </w:tcPr>
          <w:p>
            <w:pPr>
              <w:spacing w:line="240" w:lineRule="exact"/>
              <w:jc w:val="center"/>
              <w:rPr>
                <w:rFonts w:ascii="宋体" w:hAnsi="宋体"/>
                <w:sz w:val="24"/>
              </w:rPr>
            </w:pPr>
          </w:p>
        </w:tc>
        <w:tc>
          <w:tcPr>
            <w:tcW w:w="169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951" w:type="dxa"/>
            <w:vMerge w:val="continue"/>
            <w:vAlign w:val="center"/>
          </w:tcPr>
          <w:p>
            <w:pPr>
              <w:spacing w:line="240" w:lineRule="exact"/>
              <w:jc w:val="center"/>
              <w:rPr>
                <w:rFonts w:ascii="宋体" w:hAnsi="宋体"/>
                <w:sz w:val="24"/>
              </w:rPr>
            </w:pPr>
          </w:p>
        </w:tc>
        <w:tc>
          <w:tcPr>
            <w:tcW w:w="1587" w:type="dxa"/>
            <w:vMerge w:val="continue"/>
            <w:vAlign w:val="center"/>
          </w:tcPr>
          <w:p>
            <w:pPr>
              <w:spacing w:line="240" w:lineRule="exact"/>
              <w:jc w:val="center"/>
              <w:rPr>
                <w:rFonts w:ascii="宋体" w:hAnsi="宋体"/>
                <w:sz w:val="24"/>
              </w:rPr>
            </w:pPr>
          </w:p>
        </w:tc>
        <w:tc>
          <w:tcPr>
            <w:tcW w:w="2787" w:type="dxa"/>
            <w:vMerge w:val="continue"/>
            <w:vAlign w:val="center"/>
          </w:tcPr>
          <w:p>
            <w:pPr>
              <w:spacing w:line="240" w:lineRule="exact"/>
              <w:jc w:val="center"/>
              <w:rPr>
                <w:rFonts w:ascii="宋体" w:hAnsi="宋体"/>
                <w:sz w:val="24"/>
              </w:rPr>
            </w:pPr>
          </w:p>
        </w:tc>
        <w:tc>
          <w:tcPr>
            <w:tcW w:w="2984" w:type="dxa"/>
            <w:vAlign w:val="center"/>
          </w:tcPr>
          <w:p>
            <w:pPr>
              <w:spacing w:line="240" w:lineRule="exact"/>
              <w:jc w:val="center"/>
              <w:rPr>
                <w:rFonts w:ascii="宋体" w:hAnsi="宋体"/>
                <w:sz w:val="24"/>
              </w:rPr>
            </w:pPr>
          </w:p>
        </w:tc>
        <w:tc>
          <w:tcPr>
            <w:tcW w:w="1593" w:type="dxa"/>
            <w:vAlign w:val="center"/>
          </w:tcPr>
          <w:p>
            <w:pPr>
              <w:spacing w:line="240" w:lineRule="exact"/>
              <w:jc w:val="center"/>
              <w:rPr>
                <w:rFonts w:ascii="宋体" w:hAnsi="宋体"/>
                <w:sz w:val="24"/>
              </w:rPr>
            </w:pPr>
          </w:p>
        </w:tc>
        <w:tc>
          <w:tcPr>
            <w:tcW w:w="1345" w:type="dxa"/>
            <w:vAlign w:val="center"/>
          </w:tcPr>
          <w:p>
            <w:pPr>
              <w:spacing w:line="240" w:lineRule="exact"/>
              <w:jc w:val="center"/>
              <w:rPr>
                <w:rFonts w:ascii="宋体" w:hAnsi="宋体"/>
                <w:sz w:val="24"/>
              </w:rPr>
            </w:pPr>
          </w:p>
        </w:tc>
        <w:tc>
          <w:tcPr>
            <w:tcW w:w="1486" w:type="dxa"/>
            <w:vAlign w:val="center"/>
          </w:tcPr>
          <w:p>
            <w:pPr>
              <w:spacing w:line="240" w:lineRule="exact"/>
              <w:jc w:val="center"/>
              <w:rPr>
                <w:rFonts w:ascii="宋体" w:hAnsi="宋体"/>
                <w:sz w:val="24"/>
              </w:rPr>
            </w:pPr>
          </w:p>
        </w:tc>
        <w:tc>
          <w:tcPr>
            <w:tcW w:w="169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951" w:type="dxa"/>
            <w:vMerge w:val="restart"/>
            <w:vAlign w:val="center"/>
          </w:tcPr>
          <w:p>
            <w:pPr>
              <w:spacing w:line="240" w:lineRule="exact"/>
              <w:jc w:val="center"/>
              <w:rPr>
                <w:rFonts w:ascii="宋体" w:hAnsi="宋体"/>
                <w:sz w:val="24"/>
              </w:rPr>
            </w:pPr>
            <w:r>
              <w:rPr>
                <w:rFonts w:hint="eastAsia" w:ascii="宋体" w:hAnsi="宋体"/>
                <w:sz w:val="24"/>
              </w:rPr>
              <w:t>3</w:t>
            </w:r>
          </w:p>
        </w:tc>
        <w:tc>
          <w:tcPr>
            <w:tcW w:w="1587" w:type="dxa"/>
            <w:vMerge w:val="restart"/>
            <w:vAlign w:val="center"/>
          </w:tcPr>
          <w:p>
            <w:pPr>
              <w:spacing w:line="240" w:lineRule="exact"/>
              <w:jc w:val="center"/>
              <w:rPr>
                <w:rFonts w:ascii="宋体" w:hAnsi="宋体"/>
                <w:sz w:val="24"/>
              </w:rPr>
            </w:pPr>
          </w:p>
        </w:tc>
        <w:tc>
          <w:tcPr>
            <w:tcW w:w="2787" w:type="dxa"/>
            <w:vMerge w:val="restart"/>
            <w:vAlign w:val="center"/>
          </w:tcPr>
          <w:p>
            <w:pPr>
              <w:spacing w:line="240" w:lineRule="exact"/>
              <w:jc w:val="center"/>
              <w:rPr>
                <w:rFonts w:ascii="宋体" w:hAnsi="宋体"/>
                <w:sz w:val="24"/>
              </w:rPr>
            </w:pPr>
          </w:p>
        </w:tc>
        <w:tc>
          <w:tcPr>
            <w:tcW w:w="2984" w:type="dxa"/>
            <w:vAlign w:val="center"/>
          </w:tcPr>
          <w:p>
            <w:pPr>
              <w:spacing w:line="240" w:lineRule="exact"/>
              <w:jc w:val="center"/>
              <w:rPr>
                <w:rFonts w:ascii="宋体" w:hAnsi="宋体"/>
                <w:sz w:val="24"/>
              </w:rPr>
            </w:pPr>
          </w:p>
        </w:tc>
        <w:tc>
          <w:tcPr>
            <w:tcW w:w="1593" w:type="dxa"/>
            <w:vAlign w:val="center"/>
          </w:tcPr>
          <w:p>
            <w:pPr>
              <w:spacing w:line="240" w:lineRule="exact"/>
              <w:jc w:val="center"/>
              <w:rPr>
                <w:rFonts w:ascii="宋体" w:hAnsi="宋体"/>
                <w:sz w:val="24"/>
              </w:rPr>
            </w:pPr>
          </w:p>
        </w:tc>
        <w:tc>
          <w:tcPr>
            <w:tcW w:w="1345" w:type="dxa"/>
            <w:vAlign w:val="center"/>
          </w:tcPr>
          <w:p>
            <w:pPr>
              <w:spacing w:line="240" w:lineRule="exact"/>
              <w:jc w:val="center"/>
              <w:rPr>
                <w:rFonts w:ascii="宋体" w:hAnsi="宋体"/>
                <w:sz w:val="24"/>
              </w:rPr>
            </w:pPr>
          </w:p>
        </w:tc>
        <w:tc>
          <w:tcPr>
            <w:tcW w:w="1486" w:type="dxa"/>
            <w:vAlign w:val="center"/>
          </w:tcPr>
          <w:p>
            <w:pPr>
              <w:spacing w:line="240" w:lineRule="exact"/>
              <w:jc w:val="center"/>
              <w:rPr>
                <w:rFonts w:ascii="宋体" w:hAnsi="宋体"/>
                <w:sz w:val="24"/>
              </w:rPr>
            </w:pPr>
          </w:p>
        </w:tc>
        <w:tc>
          <w:tcPr>
            <w:tcW w:w="169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951" w:type="dxa"/>
            <w:vMerge w:val="continue"/>
            <w:vAlign w:val="center"/>
          </w:tcPr>
          <w:p>
            <w:pPr>
              <w:spacing w:line="240" w:lineRule="exact"/>
              <w:jc w:val="center"/>
              <w:rPr>
                <w:rFonts w:ascii="宋体" w:hAnsi="宋体"/>
                <w:sz w:val="24"/>
              </w:rPr>
            </w:pPr>
          </w:p>
        </w:tc>
        <w:tc>
          <w:tcPr>
            <w:tcW w:w="1587" w:type="dxa"/>
            <w:vMerge w:val="continue"/>
            <w:vAlign w:val="center"/>
          </w:tcPr>
          <w:p>
            <w:pPr>
              <w:spacing w:line="240" w:lineRule="exact"/>
              <w:jc w:val="center"/>
              <w:rPr>
                <w:rFonts w:ascii="宋体" w:hAnsi="宋体"/>
                <w:sz w:val="24"/>
              </w:rPr>
            </w:pPr>
          </w:p>
        </w:tc>
        <w:tc>
          <w:tcPr>
            <w:tcW w:w="2787" w:type="dxa"/>
            <w:vMerge w:val="continue"/>
            <w:vAlign w:val="center"/>
          </w:tcPr>
          <w:p>
            <w:pPr>
              <w:spacing w:line="240" w:lineRule="exact"/>
              <w:jc w:val="center"/>
              <w:rPr>
                <w:rFonts w:ascii="宋体" w:hAnsi="宋体"/>
                <w:sz w:val="24"/>
              </w:rPr>
            </w:pPr>
          </w:p>
        </w:tc>
        <w:tc>
          <w:tcPr>
            <w:tcW w:w="2984" w:type="dxa"/>
            <w:vAlign w:val="center"/>
          </w:tcPr>
          <w:p>
            <w:pPr>
              <w:spacing w:line="240" w:lineRule="exact"/>
              <w:jc w:val="center"/>
              <w:rPr>
                <w:rFonts w:ascii="宋体" w:hAnsi="宋体"/>
                <w:sz w:val="24"/>
              </w:rPr>
            </w:pPr>
          </w:p>
        </w:tc>
        <w:tc>
          <w:tcPr>
            <w:tcW w:w="1593" w:type="dxa"/>
            <w:vAlign w:val="center"/>
          </w:tcPr>
          <w:p>
            <w:pPr>
              <w:spacing w:line="240" w:lineRule="exact"/>
              <w:jc w:val="center"/>
              <w:rPr>
                <w:rFonts w:ascii="宋体" w:hAnsi="宋体"/>
                <w:sz w:val="24"/>
              </w:rPr>
            </w:pPr>
          </w:p>
        </w:tc>
        <w:tc>
          <w:tcPr>
            <w:tcW w:w="1345" w:type="dxa"/>
            <w:vAlign w:val="center"/>
          </w:tcPr>
          <w:p>
            <w:pPr>
              <w:spacing w:line="240" w:lineRule="exact"/>
              <w:jc w:val="center"/>
              <w:rPr>
                <w:rFonts w:ascii="宋体" w:hAnsi="宋体"/>
                <w:sz w:val="24"/>
              </w:rPr>
            </w:pPr>
          </w:p>
        </w:tc>
        <w:tc>
          <w:tcPr>
            <w:tcW w:w="1486" w:type="dxa"/>
            <w:vAlign w:val="center"/>
          </w:tcPr>
          <w:p>
            <w:pPr>
              <w:spacing w:line="240" w:lineRule="exact"/>
              <w:jc w:val="center"/>
              <w:rPr>
                <w:rFonts w:ascii="宋体" w:hAnsi="宋体"/>
                <w:sz w:val="24"/>
              </w:rPr>
            </w:pPr>
          </w:p>
        </w:tc>
        <w:tc>
          <w:tcPr>
            <w:tcW w:w="169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951" w:type="dxa"/>
            <w:vMerge w:val="continue"/>
            <w:vAlign w:val="center"/>
          </w:tcPr>
          <w:p>
            <w:pPr>
              <w:spacing w:line="240" w:lineRule="exact"/>
              <w:jc w:val="center"/>
              <w:rPr>
                <w:rFonts w:ascii="宋体" w:hAnsi="宋体"/>
                <w:sz w:val="24"/>
              </w:rPr>
            </w:pPr>
          </w:p>
        </w:tc>
        <w:tc>
          <w:tcPr>
            <w:tcW w:w="1587" w:type="dxa"/>
            <w:vMerge w:val="continue"/>
            <w:vAlign w:val="center"/>
          </w:tcPr>
          <w:p>
            <w:pPr>
              <w:spacing w:line="240" w:lineRule="exact"/>
              <w:jc w:val="center"/>
              <w:rPr>
                <w:rFonts w:ascii="宋体" w:hAnsi="宋体"/>
                <w:sz w:val="24"/>
              </w:rPr>
            </w:pPr>
          </w:p>
        </w:tc>
        <w:tc>
          <w:tcPr>
            <w:tcW w:w="2787" w:type="dxa"/>
            <w:vMerge w:val="continue"/>
            <w:vAlign w:val="center"/>
          </w:tcPr>
          <w:p>
            <w:pPr>
              <w:spacing w:line="240" w:lineRule="exact"/>
              <w:jc w:val="center"/>
              <w:rPr>
                <w:rFonts w:ascii="宋体" w:hAnsi="宋体"/>
                <w:sz w:val="24"/>
              </w:rPr>
            </w:pPr>
          </w:p>
        </w:tc>
        <w:tc>
          <w:tcPr>
            <w:tcW w:w="2984" w:type="dxa"/>
            <w:vAlign w:val="center"/>
          </w:tcPr>
          <w:p>
            <w:pPr>
              <w:spacing w:line="240" w:lineRule="exact"/>
              <w:jc w:val="center"/>
              <w:rPr>
                <w:rFonts w:ascii="宋体" w:hAnsi="宋体"/>
                <w:sz w:val="24"/>
              </w:rPr>
            </w:pPr>
          </w:p>
        </w:tc>
        <w:tc>
          <w:tcPr>
            <w:tcW w:w="1593" w:type="dxa"/>
            <w:vAlign w:val="center"/>
          </w:tcPr>
          <w:p>
            <w:pPr>
              <w:spacing w:line="240" w:lineRule="exact"/>
              <w:jc w:val="center"/>
              <w:rPr>
                <w:rFonts w:ascii="宋体" w:hAnsi="宋体"/>
                <w:sz w:val="24"/>
              </w:rPr>
            </w:pPr>
          </w:p>
        </w:tc>
        <w:tc>
          <w:tcPr>
            <w:tcW w:w="1345" w:type="dxa"/>
            <w:vAlign w:val="center"/>
          </w:tcPr>
          <w:p>
            <w:pPr>
              <w:spacing w:line="240" w:lineRule="exact"/>
              <w:jc w:val="center"/>
              <w:rPr>
                <w:rFonts w:ascii="宋体" w:hAnsi="宋体"/>
                <w:sz w:val="24"/>
              </w:rPr>
            </w:pPr>
          </w:p>
        </w:tc>
        <w:tc>
          <w:tcPr>
            <w:tcW w:w="1486" w:type="dxa"/>
            <w:vAlign w:val="center"/>
          </w:tcPr>
          <w:p>
            <w:pPr>
              <w:spacing w:line="240" w:lineRule="exact"/>
              <w:jc w:val="center"/>
              <w:rPr>
                <w:rFonts w:ascii="宋体" w:hAnsi="宋体"/>
                <w:sz w:val="24"/>
              </w:rPr>
            </w:pPr>
          </w:p>
        </w:tc>
        <w:tc>
          <w:tcPr>
            <w:tcW w:w="169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951" w:type="dxa"/>
            <w:vMerge w:val="continue"/>
            <w:vAlign w:val="center"/>
          </w:tcPr>
          <w:p>
            <w:pPr>
              <w:spacing w:line="240" w:lineRule="exact"/>
              <w:jc w:val="center"/>
              <w:rPr>
                <w:rFonts w:ascii="宋体" w:hAnsi="宋体"/>
                <w:sz w:val="24"/>
              </w:rPr>
            </w:pPr>
          </w:p>
        </w:tc>
        <w:tc>
          <w:tcPr>
            <w:tcW w:w="1587" w:type="dxa"/>
            <w:vMerge w:val="continue"/>
            <w:vAlign w:val="center"/>
          </w:tcPr>
          <w:p>
            <w:pPr>
              <w:spacing w:line="240" w:lineRule="exact"/>
              <w:jc w:val="center"/>
              <w:rPr>
                <w:rFonts w:ascii="宋体" w:hAnsi="宋体"/>
                <w:sz w:val="24"/>
              </w:rPr>
            </w:pPr>
          </w:p>
        </w:tc>
        <w:tc>
          <w:tcPr>
            <w:tcW w:w="2787" w:type="dxa"/>
            <w:vMerge w:val="continue"/>
            <w:vAlign w:val="center"/>
          </w:tcPr>
          <w:p>
            <w:pPr>
              <w:spacing w:line="240" w:lineRule="exact"/>
              <w:jc w:val="center"/>
              <w:rPr>
                <w:rFonts w:ascii="宋体" w:hAnsi="宋体"/>
                <w:sz w:val="24"/>
              </w:rPr>
            </w:pPr>
          </w:p>
        </w:tc>
        <w:tc>
          <w:tcPr>
            <w:tcW w:w="2984" w:type="dxa"/>
            <w:vAlign w:val="center"/>
          </w:tcPr>
          <w:p>
            <w:pPr>
              <w:spacing w:line="240" w:lineRule="exact"/>
              <w:jc w:val="center"/>
              <w:rPr>
                <w:rFonts w:ascii="宋体" w:hAnsi="宋体"/>
                <w:sz w:val="24"/>
              </w:rPr>
            </w:pPr>
          </w:p>
        </w:tc>
        <w:tc>
          <w:tcPr>
            <w:tcW w:w="1593" w:type="dxa"/>
            <w:vAlign w:val="center"/>
          </w:tcPr>
          <w:p>
            <w:pPr>
              <w:spacing w:line="240" w:lineRule="exact"/>
              <w:jc w:val="center"/>
              <w:rPr>
                <w:rFonts w:ascii="宋体" w:hAnsi="宋体"/>
                <w:sz w:val="24"/>
              </w:rPr>
            </w:pPr>
          </w:p>
        </w:tc>
        <w:tc>
          <w:tcPr>
            <w:tcW w:w="1345" w:type="dxa"/>
            <w:vAlign w:val="center"/>
          </w:tcPr>
          <w:p>
            <w:pPr>
              <w:spacing w:line="240" w:lineRule="exact"/>
              <w:jc w:val="center"/>
              <w:rPr>
                <w:rFonts w:ascii="宋体" w:hAnsi="宋体"/>
                <w:sz w:val="24"/>
              </w:rPr>
            </w:pPr>
          </w:p>
        </w:tc>
        <w:tc>
          <w:tcPr>
            <w:tcW w:w="1486" w:type="dxa"/>
            <w:vAlign w:val="center"/>
          </w:tcPr>
          <w:p>
            <w:pPr>
              <w:spacing w:line="240" w:lineRule="exact"/>
              <w:jc w:val="center"/>
              <w:rPr>
                <w:rFonts w:ascii="宋体" w:hAnsi="宋体"/>
                <w:sz w:val="24"/>
              </w:rPr>
            </w:pPr>
          </w:p>
        </w:tc>
        <w:tc>
          <w:tcPr>
            <w:tcW w:w="1691" w:type="dxa"/>
            <w:vAlign w:val="center"/>
          </w:tcPr>
          <w:p>
            <w:pPr>
              <w:spacing w:line="240" w:lineRule="exact"/>
              <w:jc w:val="center"/>
              <w:rPr>
                <w:rFonts w:ascii="宋体" w:hAnsi="宋体"/>
                <w:sz w:val="24"/>
              </w:rPr>
            </w:pPr>
          </w:p>
        </w:tc>
      </w:tr>
    </w:tbl>
    <w:p>
      <w:pPr>
        <w:spacing w:line="500" w:lineRule="atLeast"/>
        <w:rPr>
          <w:rFonts w:ascii="宋体" w:hAnsi="宋体" w:cs="宋体"/>
          <w:sz w:val="24"/>
        </w:rPr>
      </w:pPr>
      <w:r>
        <w:rPr>
          <w:rFonts w:hint="eastAsia" w:ascii="宋体" w:hAnsi="宋体" w:cs="宋体"/>
          <w:sz w:val="24"/>
        </w:rPr>
        <w:t>注：若无具体相关项目，可不填写。</w:t>
      </w:r>
    </w:p>
    <w:p>
      <w:pPr>
        <w:spacing w:line="500" w:lineRule="atLeast"/>
        <w:rPr>
          <w:rFonts w:ascii="宋体" w:hAnsi="宋体" w:cs="宋体"/>
          <w:sz w:val="24"/>
        </w:rPr>
        <w:sectPr>
          <w:pgSz w:w="16838" w:h="11906" w:orient="landscape"/>
          <w:pgMar w:top="1558" w:right="1134" w:bottom="993" w:left="1701" w:header="426" w:footer="583" w:gutter="0"/>
          <w:cols w:space="720" w:num="1"/>
          <w:docGrid w:linePitch="312" w:charSpace="0"/>
        </w:sectPr>
      </w:pPr>
    </w:p>
    <w:p>
      <w:pPr>
        <w:spacing w:line="360" w:lineRule="auto"/>
        <w:outlineLvl w:val="1"/>
        <w:rPr>
          <w:rFonts w:asciiTheme="minorEastAsia" w:hAnsiTheme="minorEastAsia"/>
          <w:sz w:val="24"/>
          <w:szCs w:val="24"/>
        </w:rPr>
      </w:pPr>
      <w:bookmarkStart w:id="93" w:name="_Toc13059"/>
      <w:bookmarkStart w:id="94" w:name="_Toc403829220"/>
      <w:r>
        <w:rPr>
          <w:rFonts w:hint="eastAsia" w:asciiTheme="minorEastAsia" w:hAnsiTheme="minorEastAsia"/>
          <w:sz w:val="24"/>
          <w:szCs w:val="24"/>
        </w:rPr>
        <w:t>附件12-4：《一般电子档案管理目录》</w:t>
      </w:r>
      <w:bookmarkEnd w:id="93"/>
      <w:bookmarkEnd w:id="94"/>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基金会一般电子档案管理目录</w:t>
      </w:r>
    </w:p>
    <w:tbl>
      <w:tblPr>
        <w:tblStyle w:val="9"/>
        <w:tblW w:w="14424" w:type="dxa"/>
        <w:tblInd w:w="0" w:type="dxa"/>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Layout w:type="fixed"/>
        <w:tblCellMar>
          <w:top w:w="0" w:type="dxa"/>
          <w:left w:w="108" w:type="dxa"/>
          <w:bottom w:w="0" w:type="dxa"/>
          <w:right w:w="108" w:type="dxa"/>
        </w:tblCellMar>
      </w:tblPr>
      <w:tblGrid>
        <w:gridCol w:w="1073"/>
        <w:gridCol w:w="1826"/>
        <w:gridCol w:w="1685"/>
        <w:gridCol w:w="2989"/>
        <w:gridCol w:w="1791"/>
        <w:gridCol w:w="1512"/>
        <w:gridCol w:w="1705"/>
        <w:gridCol w:w="1843"/>
      </w:tblGrid>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blHeader/>
        </w:trPr>
        <w:tc>
          <w:tcPr>
            <w:tcW w:w="1073"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序号</w:t>
            </w:r>
          </w:p>
        </w:tc>
        <w:tc>
          <w:tcPr>
            <w:tcW w:w="3511" w:type="dxa"/>
            <w:gridSpan w:val="2"/>
            <w:tcBorders>
              <w:top w:val="single" w:color="000000" w:sz="18" w:space="0"/>
              <w:bottom w:val="single" w:color="000000" w:sz="6" w:space="0"/>
            </w:tcBorders>
            <w:vAlign w:val="center"/>
          </w:tcPr>
          <w:p>
            <w:pPr>
              <w:spacing w:line="560" w:lineRule="exact"/>
              <w:jc w:val="center"/>
              <w:rPr>
                <w:rFonts w:ascii="宋体" w:hAnsi="宋体"/>
                <w:b/>
                <w:sz w:val="24"/>
              </w:rPr>
            </w:pPr>
            <w:r>
              <w:rPr>
                <w:rFonts w:hint="eastAsia" w:ascii="宋体" w:hAnsi="宋体"/>
                <w:b/>
                <w:sz w:val="24"/>
              </w:rPr>
              <w:t>文件夹名</w:t>
            </w:r>
          </w:p>
        </w:tc>
        <w:tc>
          <w:tcPr>
            <w:tcW w:w="2989"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文件名</w:t>
            </w:r>
          </w:p>
        </w:tc>
        <w:tc>
          <w:tcPr>
            <w:tcW w:w="1791"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生成日期</w:t>
            </w:r>
          </w:p>
        </w:tc>
        <w:tc>
          <w:tcPr>
            <w:tcW w:w="1512"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页数</w:t>
            </w:r>
          </w:p>
        </w:tc>
        <w:tc>
          <w:tcPr>
            <w:tcW w:w="1705"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文件号</w:t>
            </w:r>
          </w:p>
        </w:tc>
        <w:tc>
          <w:tcPr>
            <w:tcW w:w="1843"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备注</w:t>
            </w: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blHeader/>
        </w:trPr>
        <w:tc>
          <w:tcPr>
            <w:tcW w:w="1073" w:type="dxa"/>
            <w:vMerge w:val="continue"/>
            <w:vAlign w:val="center"/>
          </w:tcPr>
          <w:p>
            <w:pPr>
              <w:spacing w:line="560" w:lineRule="exact"/>
              <w:jc w:val="center"/>
              <w:rPr>
                <w:rFonts w:ascii="宋体" w:hAnsi="宋体"/>
                <w:b/>
                <w:sz w:val="24"/>
              </w:rPr>
            </w:pPr>
          </w:p>
        </w:tc>
        <w:tc>
          <w:tcPr>
            <w:tcW w:w="1826" w:type="dxa"/>
            <w:tcBorders>
              <w:top w:val="single" w:color="000000" w:sz="6" w:space="0"/>
            </w:tcBorders>
            <w:vAlign w:val="center"/>
          </w:tcPr>
          <w:p>
            <w:pPr>
              <w:spacing w:line="560" w:lineRule="exact"/>
              <w:jc w:val="center"/>
              <w:rPr>
                <w:rFonts w:ascii="宋体" w:hAnsi="宋体"/>
                <w:b/>
                <w:sz w:val="24"/>
              </w:rPr>
            </w:pPr>
            <w:r>
              <w:rPr>
                <w:rFonts w:hint="eastAsia" w:ascii="宋体" w:hAnsi="宋体"/>
                <w:b/>
                <w:sz w:val="24"/>
              </w:rPr>
              <w:t>二级文件夹名</w:t>
            </w:r>
          </w:p>
        </w:tc>
        <w:tc>
          <w:tcPr>
            <w:tcW w:w="1685" w:type="dxa"/>
            <w:tcBorders>
              <w:top w:val="single" w:color="000000" w:sz="6" w:space="0"/>
            </w:tcBorders>
            <w:vAlign w:val="center"/>
          </w:tcPr>
          <w:p>
            <w:pPr>
              <w:spacing w:line="560" w:lineRule="exact"/>
              <w:jc w:val="center"/>
              <w:rPr>
                <w:rFonts w:ascii="宋体" w:hAnsi="宋体"/>
                <w:b/>
                <w:sz w:val="24"/>
              </w:rPr>
            </w:pPr>
            <w:r>
              <w:rPr>
                <w:rFonts w:hint="eastAsia" w:ascii="宋体" w:hAnsi="宋体"/>
                <w:b/>
                <w:sz w:val="24"/>
              </w:rPr>
              <w:t>三级文件夹名</w:t>
            </w:r>
          </w:p>
        </w:tc>
        <w:tc>
          <w:tcPr>
            <w:tcW w:w="2989" w:type="dxa"/>
            <w:vMerge w:val="continue"/>
            <w:vAlign w:val="center"/>
          </w:tcPr>
          <w:p>
            <w:pPr>
              <w:spacing w:line="560" w:lineRule="exact"/>
              <w:jc w:val="center"/>
              <w:rPr>
                <w:rFonts w:ascii="宋体" w:hAnsi="宋体"/>
                <w:b/>
                <w:sz w:val="24"/>
              </w:rPr>
            </w:pPr>
          </w:p>
        </w:tc>
        <w:tc>
          <w:tcPr>
            <w:tcW w:w="1791" w:type="dxa"/>
            <w:vMerge w:val="continue"/>
            <w:vAlign w:val="center"/>
          </w:tcPr>
          <w:p>
            <w:pPr>
              <w:spacing w:line="560" w:lineRule="exact"/>
              <w:jc w:val="center"/>
              <w:rPr>
                <w:rFonts w:ascii="宋体" w:hAnsi="宋体"/>
                <w:b/>
                <w:sz w:val="24"/>
              </w:rPr>
            </w:pPr>
          </w:p>
        </w:tc>
        <w:tc>
          <w:tcPr>
            <w:tcW w:w="1512" w:type="dxa"/>
            <w:vMerge w:val="continue"/>
            <w:vAlign w:val="center"/>
          </w:tcPr>
          <w:p>
            <w:pPr>
              <w:spacing w:line="560" w:lineRule="exact"/>
              <w:jc w:val="center"/>
              <w:rPr>
                <w:rFonts w:ascii="宋体" w:hAnsi="宋体"/>
                <w:b/>
                <w:sz w:val="24"/>
              </w:rPr>
            </w:pPr>
          </w:p>
        </w:tc>
        <w:tc>
          <w:tcPr>
            <w:tcW w:w="1705" w:type="dxa"/>
            <w:vMerge w:val="continue"/>
            <w:vAlign w:val="center"/>
          </w:tcPr>
          <w:p>
            <w:pPr>
              <w:spacing w:line="560" w:lineRule="exact"/>
              <w:jc w:val="center"/>
              <w:rPr>
                <w:rFonts w:ascii="宋体" w:hAnsi="宋体"/>
                <w:b/>
                <w:sz w:val="24"/>
              </w:rPr>
            </w:pPr>
          </w:p>
        </w:tc>
        <w:tc>
          <w:tcPr>
            <w:tcW w:w="1843" w:type="dxa"/>
            <w:vMerge w:val="continue"/>
            <w:vAlign w:val="center"/>
          </w:tcPr>
          <w:p>
            <w:pPr>
              <w:spacing w:line="560" w:lineRule="exact"/>
              <w:jc w:val="center"/>
              <w:rPr>
                <w:rFonts w:ascii="宋体" w:hAnsi="宋体"/>
                <w:b/>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73" w:type="dxa"/>
            <w:vMerge w:val="restart"/>
            <w:vAlign w:val="center"/>
          </w:tcPr>
          <w:p>
            <w:pPr>
              <w:spacing w:line="240" w:lineRule="exact"/>
              <w:jc w:val="center"/>
              <w:rPr>
                <w:rFonts w:ascii="宋体" w:hAnsi="宋体"/>
                <w:sz w:val="24"/>
              </w:rPr>
            </w:pPr>
            <w:r>
              <w:rPr>
                <w:rFonts w:hint="eastAsia" w:ascii="宋体" w:hAnsi="宋体"/>
                <w:sz w:val="24"/>
              </w:rPr>
              <w:t>1</w:t>
            </w:r>
          </w:p>
        </w:tc>
        <w:tc>
          <w:tcPr>
            <w:tcW w:w="1826" w:type="dxa"/>
            <w:vMerge w:val="restart"/>
            <w:vAlign w:val="center"/>
          </w:tcPr>
          <w:p>
            <w:pPr>
              <w:spacing w:line="240" w:lineRule="exact"/>
              <w:jc w:val="center"/>
              <w:rPr>
                <w:rFonts w:ascii="宋体" w:hAnsi="宋体"/>
                <w:sz w:val="24"/>
              </w:rPr>
            </w:pPr>
          </w:p>
        </w:tc>
        <w:tc>
          <w:tcPr>
            <w:tcW w:w="1685" w:type="dxa"/>
            <w:vMerge w:val="restart"/>
            <w:vAlign w:val="center"/>
          </w:tcPr>
          <w:p>
            <w:pPr>
              <w:spacing w:line="240" w:lineRule="exact"/>
              <w:jc w:val="center"/>
              <w:rPr>
                <w:rFonts w:ascii="宋体" w:hAnsi="宋体"/>
                <w:sz w:val="24"/>
              </w:rPr>
            </w:pPr>
          </w:p>
        </w:tc>
        <w:tc>
          <w:tcPr>
            <w:tcW w:w="2989" w:type="dxa"/>
            <w:vAlign w:val="center"/>
          </w:tcPr>
          <w:p>
            <w:pPr>
              <w:spacing w:line="240" w:lineRule="exact"/>
              <w:jc w:val="center"/>
              <w:rPr>
                <w:rFonts w:ascii="宋体" w:hAnsi="宋体"/>
                <w:sz w:val="24"/>
              </w:rPr>
            </w:pPr>
          </w:p>
        </w:tc>
        <w:tc>
          <w:tcPr>
            <w:tcW w:w="1791" w:type="dxa"/>
            <w:vAlign w:val="center"/>
          </w:tcPr>
          <w:p>
            <w:pPr>
              <w:spacing w:line="240" w:lineRule="exact"/>
              <w:jc w:val="center"/>
              <w:rPr>
                <w:rFonts w:ascii="宋体" w:hAnsi="宋体"/>
                <w:sz w:val="24"/>
              </w:rPr>
            </w:pPr>
          </w:p>
        </w:tc>
        <w:tc>
          <w:tcPr>
            <w:tcW w:w="1512" w:type="dxa"/>
            <w:vAlign w:val="center"/>
          </w:tcPr>
          <w:p>
            <w:pPr>
              <w:spacing w:line="240" w:lineRule="exact"/>
              <w:jc w:val="center"/>
              <w:rPr>
                <w:rFonts w:ascii="宋体" w:hAnsi="宋体"/>
                <w:sz w:val="24"/>
              </w:rPr>
            </w:pPr>
          </w:p>
        </w:tc>
        <w:tc>
          <w:tcPr>
            <w:tcW w:w="1705" w:type="dxa"/>
            <w:vAlign w:val="center"/>
          </w:tcPr>
          <w:p>
            <w:pPr>
              <w:spacing w:line="240" w:lineRule="exact"/>
              <w:jc w:val="center"/>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1</w:t>
            </w:r>
          </w:p>
        </w:tc>
        <w:tc>
          <w:tcPr>
            <w:tcW w:w="184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73" w:type="dxa"/>
            <w:vMerge w:val="continue"/>
            <w:vAlign w:val="center"/>
          </w:tcPr>
          <w:p>
            <w:pPr>
              <w:spacing w:line="240" w:lineRule="exact"/>
              <w:jc w:val="center"/>
              <w:rPr>
                <w:rFonts w:ascii="宋体" w:hAnsi="宋体"/>
                <w:sz w:val="24"/>
              </w:rPr>
            </w:pPr>
          </w:p>
        </w:tc>
        <w:tc>
          <w:tcPr>
            <w:tcW w:w="1826"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2989" w:type="dxa"/>
            <w:vAlign w:val="center"/>
          </w:tcPr>
          <w:p>
            <w:pPr>
              <w:spacing w:line="240" w:lineRule="exact"/>
              <w:jc w:val="center"/>
              <w:rPr>
                <w:rFonts w:ascii="宋体" w:hAnsi="宋体"/>
                <w:sz w:val="24"/>
              </w:rPr>
            </w:pPr>
          </w:p>
        </w:tc>
        <w:tc>
          <w:tcPr>
            <w:tcW w:w="1791" w:type="dxa"/>
            <w:vAlign w:val="center"/>
          </w:tcPr>
          <w:p>
            <w:pPr>
              <w:spacing w:line="240" w:lineRule="exact"/>
              <w:jc w:val="center"/>
              <w:rPr>
                <w:rFonts w:ascii="宋体" w:hAnsi="宋体"/>
                <w:sz w:val="24"/>
              </w:rPr>
            </w:pPr>
          </w:p>
        </w:tc>
        <w:tc>
          <w:tcPr>
            <w:tcW w:w="1512" w:type="dxa"/>
            <w:vAlign w:val="center"/>
          </w:tcPr>
          <w:p>
            <w:pPr>
              <w:spacing w:line="240" w:lineRule="exact"/>
              <w:jc w:val="center"/>
              <w:rPr>
                <w:rFonts w:ascii="宋体" w:hAnsi="宋体"/>
                <w:sz w:val="24"/>
              </w:rPr>
            </w:pPr>
          </w:p>
        </w:tc>
        <w:tc>
          <w:tcPr>
            <w:tcW w:w="1705" w:type="dxa"/>
            <w:vAlign w:val="center"/>
          </w:tcPr>
          <w:p>
            <w:pPr>
              <w:spacing w:line="240" w:lineRule="exact"/>
              <w:jc w:val="center"/>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2</w:t>
            </w:r>
          </w:p>
        </w:tc>
        <w:tc>
          <w:tcPr>
            <w:tcW w:w="184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73" w:type="dxa"/>
            <w:vMerge w:val="continue"/>
            <w:vAlign w:val="center"/>
          </w:tcPr>
          <w:p>
            <w:pPr>
              <w:spacing w:line="240" w:lineRule="exact"/>
              <w:jc w:val="center"/>
              <w:rPr>
                <w:rFonts w:ascii="宋体" w:hAnsi="宋体"/>
                <w:sz w:val="24"/>
              </w:rPr>
            </w:pPr>
          </w:p>
        </w:tc>
        <w:tc>
          <w:tcPr>
            <w:tcW w:w="1826"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2989" w:type="dxa"/>
            <w:vAlign w:val="center"/>
          </w:tcPr>
          <w:p>
            <w:pPr>
              <w:spacing w:line="240" w:lineRule="exact"/>
              <w:jc w:val="center"/>
              <w:rPr>
                <w:rFonts w:ascii="宋体" w:hAnsi="宋体"/>
                <w:sz w:val="24"/>
              </w:rPr>
            </w:pPr>
          </w:p>
        </w:tc>
        <w:tc>
          <w:tcPr>
            <w:tcW w:w="1791" w:type="dxa"/>
            <w:vAlign w:val="center"/>
          </w:tcPr>
          <w:p>
            <w:pPr>
              <w:spacing w:line="240" w:lineRule="exact"/>
              <w:jc w:val="center"/>
              <w:rPr>
                <w:rFonts w:ascii="宋体" w:hAnsi="宋体"/>
                <w:sz w:val="24"/>
              </w:rPr>
            </w:pPr>
          </w:p>
        </w:tc>
        <w:tc>
          <w:tcPr>
            <w:tcW w:w="1512" w:type="dxa"/>
            <w:vAlign w:val="center"/>
          </w:tcPr>
          <w:p>
            <w:pPr>
              <w:spacing w:line="240" w:lineRule="exact"/>
              <w:jc w:val="center"/>
              <w:rPr>
                <w:rFonts w:ascii="宋体" w:hAnsi="宋体"/>
                <w:sz w:val="24"/>
              </w:rPr>
            </w:pPr>
          </w:p>
        </w:tc>
        <w:tc>
          <w:tcPr>
            <w:tcW w:w="1705" w:type="dxa"/>
            <w:vAlign w:val="center"/>
          </w:tcPr>
          <w:p>
            <w:pPr>
              <w:spacing w:line="240" w:lineRule="exact"/>
              <w:jc w:val="center"/>
              <w:rPr>
                <w:rFonts w:ascii="宋体" w:hAnsi="宋体"/>
                <w:sz w:val="24"/>
              </w:rPr>
            </w:pPr>
          </w:p>
        </w:tc>
        <w:tc>
          <w:tcPr>
            <w:tcW w:w="184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73" w:type="dxa"/>
            <w:vMerge w:val="continue"/>
            <w:vAlign w:val="center"/>
          </w:tcPr>
          <w:p>
            <w:pPr>
              <w:spacing w:line="240" w:lineRule="exact"/>
              <w:jc w:val="center"/>
              <w:rPr>
                <w:rFonts w:ascii="宋体" w:hAnsi="宋体"/>
                <w:sz w:val="24"/>
              </w:rPr>
            </w:pPr>
          </w:p>
        </w:tc>
        <w:tc>
          <w:tcPr>
            <w:tcW w:w="1826"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2989" w:type="dxa"/>
            <w:vAlign w:val="center"/>
          </w:tcPr>
          <w:p>
            <w:pPr>
              <w:spacing w:line="240" w:lineRule="exact"/>
              <w:jc w:val="center"/>
              <w:rPr>
                <w:rFonts w:ascii="宋体" w:hAnsi="宋体"/>
                <w:sz w:val="24"/>
              </w:rPr>
            </w:pPr>
          </w:p>
        </w:tc>
        <w:tc>
          <w:tcPr>
            <w:tcW w:w="1791" w:type="dxa"/>
            <w:vAlign w:val="center"/>
          </w:tcPr>
          <w:p>
            <w:pPr>
              <w:spacing w:line="240" w:lineRule="exact"/>
              <w:jc w:val="center"/>
              <w:rPr>
                <w:rFonts w:ascii="宋体" w:hAnsi="宋体"/>
                <w:sz w:val="24"/>
              </w:rPr>
            </w:pPr>
          </w:p>
        </w:tc>
        <w:tc>
          <w:tcPr>
            <w:tcW w:w="1512" w:type="dxa"/>
            <w:vAlign w:val="center"/>
          </w:tcPr>
          <w:p>
            <w:pPr>
              <w:spacing w:line="240" w:lineRule="exact"/>
              <w:jc w:val="center"/>
              <w:rPr>
                <w:rFonts w:ascii="宋体" w:hAnsi="宋体"/>
                <w:sz w:val="24"/>
              </w:rPr>
            </w:pPr>
          </w:p>
        </w:tc>
        <w:tc>
          <w:tcPr>
            <w:tcW w:w="1705" w:type="dxa"/>
            <w:vAlign w:val="center"/>
          </w:tcPr>
          <w:p>
            <w:pPr>
              <w:spacing w:line="240" w:lineRule="exact"/>
              <w:jc w:val="center"/>
              <w:rPr>
                <w:rFonts w:ascii="宋体" w:hAnsi="宋体"/>
                <w:sz w:val="24"/>
              </w:rPr>
            </w:pPr>
          </w:p>
        </w:tc>
        <w:tc>
          <w:tcPr>
            <w:tcW w:w="184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73" w:type="dxa"/>
            <w:vMerge w:val="restart"/>
            <w:vAlign w:val="center"/>
          </w:tcPr>
          <w:p>
            <w:pPr>
              <w:spacing w:line="240" w:lineRule="exact"/>
              <w:jc w:val="center"/>
              <w:rPr>
                <w:rFonts w:ascii="宋体" w:hAnsi="宋体"/>
                <w:sz w:val="24"/>
              </w:rPr>
            </w:pPr>
            <w:r>
              <w:rPr>
                <w:rFonts w:hint="eastAsia" w:ascii="宋体" w:hAnsi="宋体"/>
                <w:sz w:val="24"/>
              </w:rPr>
              <w:t>2</w:t>
            </w:r>
          </w:p>
        </w:tc>
        <w:tc>
          <w:tcPr>
            <w:tcW w:w="1826" w:type="dxa"/>
            <w:vMerge w:val="restart"/>
            <w:vAlign w:val="center"/>
          </w:tcPr>
          <w:p>
            <w:pPr>
              <w:spacing w:line="240" w:lineRule="exact"/>
              <w:jc w:val="center"/>
              <w:rPr>
                <w:rFonts w:ascii="宋体" w:hAnsi="宋体"/>
                <w:sz w:val="24"/>
              </w:rPr>
            </w:pPr>
          </w:p>
        </w:tc>
        <w:tc>
          <w:tcPr>
            <w:tcW w:w="1685" w:type="dxa"/>
            <w:vMerge w:val="restart"/>
            <w:vAlign w:val="center"/>
          </w:tcPr>
          <w:p>
            <w:pPr>
              <w:spacing w:line="240" w:lineRule="exact"/>
              <w:jc w:val="center"/>
              <w:rPr>
                <w:rFonts w:ascii="宋体" w:hAnsi="宋体"/>
                <w:sz w:val="24"/>
              </w:rPr>
            </w:pPr>
          </w:p>
        </w:tc>
        <w:tc>
          <w:tcPr>
            <w:tcW w:w="2989" w:type="dxa"/>
            <w:vAlign w:val="center"/>
          </w:tcPr>
          <w:p>
            <w:pPr>
              <w:spacing w:line="240" w:lineRule="exact"/>
              <w:jc w:val="center"/>
              <w:rPr>
                <w:rFonts w:ascii="宋体" w:hAnsi="宋体"/>
                <w:sz w:val="24"/>
              </w:rPr>
            </w:pPr>
          </w:p>
        </w:tc>
        <w:tc>
          <w:tcPr>
            <w:tcW w:w="1791" w:type="dxa"/>
            <w:vAlign w:val="center"/>
          </w:tcPr>
          <w:p>
            <w:pPr>
              <w:spacing w:line="240" w:lineRule="exact"/>
              <w:jc w:val="center"/>
              <w:rPr>
                <w:rFonts w:ascii="宋体" w:hAnsi="宋体"/>
                <w:sz w:val="24"/>
              </w:rPr>
            </w:pPr>
          </w:p>
        </w:tc>
        <w:tc>
          <w:tcPr>
            <w:tcW w:w="1512" w:type="dxa"/>
            <w:vAlign w:val="center"/>
          </w:tcPr>
          <w:p>
            <w:pPr>
              <w:spacing w:line="240" w:lineRule="exact"/>
              <w:jc w:val="center"/>
              <w:rPr>
                <w:rFonts w:ascii="宋体" w:hAnsi="宋体"/>
                <w:sz w:val="24"/>
              </w:rPr>
            </w:pPr>
          </w:p>
        </w:tc>
        <w:tc>
          <w:tcPr>
            <w:tcW w:w="1705" w:type="dxa"/>
            <w:vAlign w:val="center"/>
          </w:tcPr>
          <w:p>
            <w:pPr>
              <w:spacing w:line="240" w:lineRule="exact"/>
              <w:jc w:val="center"/>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1</w:t>
            </w:r>
          </w:p>
        </w:tc>
        <w:tc>
          <w:tcPr>
            <w:tcW w:w="184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73" w:type="dxa"/>
            <w:vMerge w:val="continue"/>
            <w:vAlign w:val="center"/>
          </w:tcPr>
          <w:p>
            <w:pPr>
              <w:spacing w:line="240" w:lineRule="exact"/>
              <w:jc w:val="center"/>
              <w:rPr>
                <w:rFonts w:ascii="宋体" w:hAnsi="宋体"/>
                <w:sz w:val="24"/>
              </w:rPr>
            </w:pPr>
          </w:p>
        </w:tc>
        <w:tc>
          <w:tcPr>
            <w:tcW w:w="1826"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2989" w:type="dxa"/>
            <w:vAlign w:val="center"/>
          </w:tcPr>
          <w:p>
            <w:pPr>
              <w:spacing w:line="240" w:lineRule="exact"/>
              <w:jc w:val="center"/>
              <w:rPr>
                <w:rFonts w:ascii="宋体" w:hAnsi="宋体"/>
                <w:sz w:val="24"/>
              </w:rPr>
            </w:pPr>
          </w:p>
        </w:tc>
        <w:tc>
          <w:tcPr>
            <w:tcW w:w="1791" w:type="dxa"/>
            <w:vAlign w:val="center"/>
          </w:tcPr>
          <w:p>
            <w:pPr>
              <w:spacing w:line="240" w:lineRule="exact"/>
              <w:jc w:val="center"/>
              <w:rPr>
                <w:rFonts w:ascii="宋体" w:hAnsi="宋体"/>
                <w:sz w:val="24"/>
              </w:rPr>
            </w:pPr>
          </w:p>
        </w:tc>
        <w:tc>
          <w:tcPr>
            <w:tcW w:w="1512" w:type="dxa"/>
            <w:vAlign w:val="center"/>
          </w:tcPr>
          <w:p>
            <w:pPr>
              <w:spacing w:line="240" w:lineRule="exact"/>
              <w:jc w:val="center"/>
              <w:rPr>
                <w:rFonts w:ascii="宋体" w:hAnsi="宋体"/>
                <w:sz w:val="24"/>
              </w:rPr>
            </w:pPr>
          </w:p>
        </w:tc>
        <w:tc>
          <w:tcPr>
            <w:tcW w:w="1705" w:type="dxa"/>
            <w:vAlign w:val="center"/>
          </w:tcPr>
          <w:p>
            <w:pPr>
              <w:spacing w:line="240" w:lineRule="exact"/>
              <w:jc w:val="center"/>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2</w:t>
            </w:r>
          </w:p>
        </w:tc>
        <w:tc>
          <w:tcPr>
            <w:tcW w:w="184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73" w:type="dxa"/>
            <w:vMerge w:val="continue"/>
            <w:vAlign w:val="center"/>
          </w:tcPr>
          <w:p>
            <w:pPr>
              <w:spacing w:line="240" w:lineRule="exact"/>
              <w:jc w:val="center"/>
              <w:rPr>
                <w:rFonts w:ascii="宋体" w:hAnsi="宋体"/>
                <w:sz w:val="24"/>
              </w:rPr>
            </w:pPr>
          </w:p>
        </w:tc>
        <w:tc>
          <w:tcPr>
            <w:tcW w:w="1826"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2989" w:type="dxa"/>
            <w:vAlign w:val="center"/>
          </w:tcPr>
          <w:p>
            <w:pPr>
              <w:spacing w:line="240" w:lineRule="exact"/>
              <w:jc w:val="center"/>
              <w:rPr>
                <w:rFonts w:ascii="宋体" w:hAnsi="宋体"/>
                <w:sz w:val="24"/>
              </w:rPr>
            </w:pPr>
          </w:p>
        </w:tc>
        <w:tc>
          <w:tcPr>
            <w:tcW w:w="1791" w:type="dxa"/>
            <w:vAlign w:val="center"/>
          </w:tcPr>
          <w:p>
            <w:pPr>
              <w:spacing w:line="240" w:lineRule="exact"/>
              <w:jc w:val="center"/>
              <w:rPr>
                <w:rFonts w:ascii="宋体" w:hAnsi="宋体"/>
                <w:sz w:val="24"/>
              </w:rPr>
            </w:pPr>
          </w:p>
        </w:tc>
        <w:tc>
          <w:tcPr>
            <w:tcW w:w="1512" w:type="dxa"/>
            <w:vAlign w:val="center"/>
          </w:tcPr>
          <w:p>
            <w:pPr>
              <w:spacing w:line="240" w:lineRule="exact"/>
              <w:jc w:val="center"/>
              <w:rPr>
                <w:rFonts w:ascii="宋体" w:hAnsi="宋体"/>
                <w:sz w:val="24"/>
              </w:rPr>
            </w:pPr>
          </w:p>
        </w:tc>
        <w:tc>
          <w:tcPr>
            <w:tcW w:w="1705" w:type="dxa"/>
            <w:vAlign w:val="center"/>
          </w:tcPr>
          <w:p>
            <w:pPr>
              <w:spacing w:line="240" w:lineRule="exact"/>
              <w:jc w:val="center"/>
              <w:rPr>
                <w:rFonts w:ascii="宋体" w:hAnsi="宋体"/>
                <w:sz w:val="24"/>
              </w:rPr>
            </w:pPr>
          </w:p>
        </w:tc>
        <w:tc>
          <w:tcPr>
            <w:tcW w:w="184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73" w:type="dxa"/>
            <w:vMerge w:val="continue"/>
            <w:vAlign w:val="center"/>
          </w:tcPr>
          <w:p>
            <w:pPr>
              <w:spacing w:line="240" w:lineRule="exact"/>
              <w:jc w:val="center"/>
              <w:rPr>
                <w:rFonts w:ascii="宋体" w:hAnsi="宋体"/>
                <w:sz w:val="24"/>
              </w:rPr>
            </w:pPr>
          </w:p>
        </w:tc>
        <w:tc>
          <w:tcPr>
            <w:tcW w:w="1826"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2989" w:type="dxa"/>
            <w:vAlign w:val="center"/>
          </w:tcPr>
          <w:p>
            <w:pPr>
              <w:spacing w:line="240" w:lineRule="exact"/>
              <w:jc w:val="center"/>
              <w:rPr>
                <w:rFonts w:ascii="宋体" w:hAnsi="宋体"/>
                <w:sz w:val="24"/>
              </w:rPr>
            </w:pPr>
          </w:p>
        </w:tc>
        <w:tc>
          <w:tcPr>
            <w:tcW w:w="1791" w:type="dxa"/>
            <w:vAlign w:val="center"/>
          </w:tcPr>
          <w:p>
            <w:pPr>
              <w:spacing w:line="240" w:lineRule="exact"/>
              <w:jc w:val="center"/>
              <w:rPr>
                <w:rFonts w:ascii="宋体" w:hAnsi="宋体"/>
                <w:sz w:val="24"/>
              </w:rPr>
            </w:pPr>
          </w:p>
        </w:tc>
        <w:tc>
          <w:tcPr>
            <w:tcW w:w="1512" w:type="dxa"/>
            <w:vAlign w:val="center"/>
          </w:tcPr>
          <w:p>
            <w:pPr>
              <w:spacing w:line="240" w:lineRule="exact"/>
              <w:jc w:val="center"/>
              <w:rPr>
                <w:rFonts w:ascii="宋体" w:hAnsi="宋体"/>
                <w:sz w:val="24"/>
              </w:rPr>
            </w:pPr>
          </w:p>
        </w:tc>
        <w:tc>
          <w:tcPr>
            <w:tcW w:w="1705" w:type="dxa"/>
            <w:vAlign w:val="center"/>
          </w:tcPr>
          <w:p>
            <w:pPr>
              <w:spacing w:line="240" w:lineRule="exact"/>
              <w:jc w:val="center"/>
              <w:rPr>
                <w:rFonts w:ascii="宋体" w:hAnsi="宋体"/>
                <w:sz w:val="24"/>
              </w:rPr>
            </w:pPr>
          </w:p>
        </w:tc>
        <w:tc>
          <w:tcPr>
            <w:tcW w:w="184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73" w:type="dxa"/>
            <w:vMerge w:val="restart"/>
            <w:vAlign w:val="center"/>
          </w:tcPr>
          <w:p>
            <w:pPr>
              <w:spacing w:line="240" w:lineRule="exact"/>
              <w:jc w:val="center"/>
              <w:rPr>
                <w:rFonts w:ascii="宋体" w:hAnsi="宋体"/>
                <w:sz w:val="24"/>
              </w:rPr>
            </w:pPr>
            <w:r>
              <w:rPr>
                <w:rFonts w:hint="eastAsia" w:ascii="宋体" w:hAnsi="宋体"/>
                <w:sz w:val="24"/>
              </w:rPr>
              <w:t>3</w:t>
            </w:r>
          </w:p>
        </w:tc>
        <w:tc>
          <w:tcPr>
            <w:tcW w:w="1826" w:type="dxa"/>
            <w:vMerge w:val="restart"/>
            <w:vAlign w:val="center"/>
          </w:tcPr>
          <w:p>
            <w:pPr>
              <w:spacing w:line="240" w:lineRule="exact"/>
              <w:jc w:val="center"/>
              <w:rPr>
                <w:rFonts w:ascii="宋体" w:hAnsi="宋体"/>
                <w:sz w:val="24"/>
              </w:rPr>
            </w:pPr>
          </w:p>
        </w:tc>
        <w:tc>
          <w:tcPr>
            <w:tcW w:w="1685" w:type="dxa"/>
            <w:vMerge w:val="restart"/>
            <w:vAlign w:val="center"/>
          </w:tcPr>
          <w:p>
            <w:pPr>
              <w:spacing w:line="240" w:lineRule="exact"/>
              <w:jc w:val="center"/>
              <w:rPr>
                <w:rFonts w:ascii="宋体" w:hAnsi="宋体"/>
                <w:sz w:val="24"/>
              </w:rPr>
            </w:pPr>
          </w:p>
        </w:tc>
        <w:tc>
          <w:tcPr>
            <w:tcW w:w="2989" w:type="dxa"/>
            <w:vAlign w:val="center"/>
          </w:tcPr>
          <w:p>
            <w:pPr>
              <w:spacing w:line="240" w:lineRule="exact"/>
              <w:jc w:val="center"/>
              <w:rPr>
                <w:rFonts w:ascii="宋体" w:hAnsi="宋体"/>
                <w:sz w:val="24"/>
              </w:rPr>
            </w:pPr>
          </w:p>
        </w:tc>
        <w:tc>
          <w:tcPr>
            <w:tcW w:w="1791" w:type="dxa"/>
            <w:vAlign w:val="center"/>
          </w:tcPr>
          <w:p>
            <w:pPr>
              <w:spacing w:line="240" w:lineRule="exact"/>
              <w:jc w:val="center"/>
              <w:rPr>
                <w:rFonts w:ascii="宋体" w:hAnsi="宋体"/>
                <w:sz w:val="24"/>
              </w:rPr>
            </w:pPr>
          </w:p>
        </w:tc>
        <w:tc>
          <w:tcPr>
            <w:tcW w:w="1512" w:type="dxa"/>
            <w:vAlign w:val="center"/>
          </w:tcPr>
          <w:p>
            <w:pPr>
              <w:spacing w:line="240" w:lineRule="exact"/>
              <w:jc w:val="center"/>
              <w:rPr>
                <w:rFonts w:ascii="宋体" w:hAnsi="宋体"/>
                <w:sz w:val="24"/>
              </w:rPr>
            </w:pPr>
          </w:p>
        </w:tc>
        <w:tc>
          <w:tcPr>
            <w:tcW w:w="1705" w:type="dxa"/>
            <w:vAlign w:val="center"/>
          </w:tcPr>
          <w:p>
            <w:pPr>
              <w:spacing w:line="240" w:lineRule="exact"/>
              <w:jc w:val="center"/>
              <w:rPr>
                <w:rFonts w:ascii="宋体" w:hAnsi="宋体"/>
                <w:sz w:val="24"/>
              </w:rPr>
            </w:pPr>
            <w:r>
              <w:rPr>
                <w:rFonts w:hint="eastAsia" w:ascii="宋体" w:hAnsi="宋体"/>
                <w:sz w:val="24"/>
              </w:rPr>
              <w:t>3-1</w:t>
            </w:r>
          </w:p>
        </w:tc>
        <w:tc>
          <w:tcPr>
            <w:tcW w:w="184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73" w:type="dxa"/>
            <w:vMerge w:val="continue"/>
            <w:vAlign w:val="center"/>
          </w:tcPr>
          <w:p>
            <w:pPr>
              <w:spacing w:line="240" w:lineRule="exact"/>
              <w:jc w:val="center"/>
              <w:rPr>
                <w:rFonts w:ascii="宋体" w:hAnsi="宋体"/>
                <w:sz w:val="24"/>
              </w:rPr>
            </w:pPr>
          </w:p>
        </w:tc>
        <w:tc>
          <w:tcPr>
            <w:tcW w:w="1826"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2989" w:type="dxa"/>
            <w:vAlign w:val="center"/>
          </w:tcPr>
          <w:p>
            <w:pPr>
              <w:spacing w:line="240" w:lineRule="exact"/>
              <w:jc w:val="center"/>
              <w:rPr>
                <w:rFonts w:ascii="宋体" w:hAnsi="宋体"/>
                <w:sz w:val="24"/>
              </w:rPr>
            </w:pPr>
          </w:p>
        </w:tc>
        <w:tc>
          <w:tcPr>
            <w:tcW w:w="1791" w:type="dxa"/>
            <w:vAlign w:val="center"/>
          </w:tcPr>
          <w:p>
            <w:pPr>
              <w:spacing w:line="240" w:lineRule="exact"/>
              <w:jc w:val="center"/>
              <w:rPr>
                <w:rFonts w:ascii="宋体" w:hAnsi="宋体"/>
                <w:sz w:val="24"/>
              </w:rPr>
            </w:pPr>
          </w:p>
        </w:tc>
        <w:tc>
          <w:tcPr>
            <w:tcW w:w="1512" w:type="dxa"/>
            <w:vAlign w:val="center"/>
          </w:tcPr>
          <w:p>
            <w:pPr>
              <w:spacing w:line="240" w:lineRule="exact"/>
              <w:jc w:val="center"/>
              <w:rPr>
                <w:rFonts w:ascii="宋体" w:hAnsi="宋体"/>
                <w:sz w:val="24"/>
              </w:rPr>
            </w:pPr>
          </w:p>
        </w:tc>
        <w:tc>
          <w:tcPr>
            <w:tcW w:w="1705" w:type="dxa"/>
            <w:vAlign w:val="center"/>
          </w:tcPr>
          <w:p>
            <w:pPr>
              <w:spacing w:line="240" w:lineRule="exact"/>
              <w:jc w:val="center"/>
              <w:rPr>
                <w:rFonts w:ascii="宋体" w:hAnsi="宋体"/>
                <w:sz w:val="24"/>
              </w:rPr>
            </w:pPr>
            <w:r>
              <w:rPr>
                <w:rFonts w:hint="eastAsia" w:ascii="宋体" w:hAnsi="宋体"/>
                <w:sz w:val="24"/>
              </w:rPr>
              <w:t>3-2</w:t>
            </w:r>
          </w:p>
        </w:tc>
        <w:tc>
          <w:tcPr>
            <w:tcW w:w="184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073" w:type="dxa"/>
            <w:vMerge w:val="continue"/>
            <w:vAlign w:val="center"/>
          </w:tcPr>
          <w:p>
            <w:pPr>
              <w:spacing w:line="240" w:lineRule="exact"/>
              <w:jc w:val="center"/>
              <w:rPr>
                <w:rFonts w:ascii="宋体" w:hAnsi="宋体"/>
                <w:sz w:val="24"/>
              </w:rPr>
            </w:pPr>
          </w:p>
        </w:tc>
        <w:tc>
          <w:tcPr>
            <w:tcW w:w="1826"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2989" w:type="dxa"/>
            <w:vAlign w:val="center"/>
          </w:tcPr>
          <w:p>
            <w:pPr>
              <w:spacing w:line="240" w:lineRule="exact"/>
              <w:jc w:val="center"/>
              <w:rPr>
                <w:rFonts w:ascii="宋体" w:hAnsi="宋体"/>
                <w:sz w:val="24"/>
              </w:rPr>
            </w:pPr>
          </w:p>
        </w:tc>
        <w:tc>
          <w:tcPr>
            <w:tcW w:w="1791" w:type="dxa"/>
            <w:vAlign w:val="center"/>
          </w:tcPr>
          <w:p>
            <w:pPr>
              <w:spacing w:line="240" w:lineRule="exact"/>
              <w:jc w:val="center"/>
              <w:rPr>
                <w:rFonts w:ascii="宋体" w:hAnsi="宋体"/>
                <w:sz w:val="24"/>
              </w:rPr>
            </w:pPr>
          </w:p>
        </w:tc>
        <w:tc>
          <w:tcPr>
            <w:tcW w:w="1512" w:type="dxa"/>
            <w:vAlign w:val="center"/>
          </w:tcPr>
          <w:p>
            <w:pPr>
              <w:spacing w:line="240" w:lineRule="exact"/>
              <w:jc w:val="center"/>
              <w:rPr>
                <w:rFonts w:ascii="宋体" w:hAnsi="宋体"/>
                <w:sz w:val="24"/>
              </w:rPr>
            </w:pPr>
          </w:p>
        </w:tc>
        <w:tc>
          <w:tcPr>
            <w:tcW w:w="1705" w:type="dxa"/>
            <w:vAlign w:val="center"/>
          </w:tcPr>
          <w:p>
            <w:pPr>
              <w:spacing w:line="240" w:lineRule="exact"/>
              <w:jc w:val="center"/>
              <w:rPr>
                <w:rFonts w:ascii="宋体" w:hAnsi="宋体"/>
                <w:sz w:val="24"/>
              </w:rPr>
            </w:pPr>
          </w:p>
        </w:tc>
        <w:tc>
          <w:tcPr>
            <w:tcW w:w="1843" w:type="dxa"/>
            <w:vAlign w:val="center"/>
          </w:tcPr>
          <w:p>
            <w:pPr>
              <w:spacing w:line="240" w:lineRule="exact"/>
              <w:jc w:val="center"/>
              <w:rPr>
                <w:rFonts w:ascii="宋体" w:hAnsi="宋体"/>
                <w:sz w:val="24"/>
              </w:rPr>
            </w:pPr>
          </w:p>
        </w:tc>
      </w:tr>
    </w:tbl>
    <w:p>
      <w:pPr>
        <w:spacing w:line="500" w:lineRule="atLeast"/>
        <w:rPr>
          <w:rFonts w:ascii="宋体" w:hAnsi="宋体" w:cs="宋体"/>
          <w:sz w:val="24"/>
        </w:rPr>
      </w:pPr>
      <w:r>
        <w:rPr>
          <w:rFonts w:hint="eastAsia" w:ascii="宋体" w:hAnsi="宋体" w:cs="宋体"/>
          <w:sz w:val="24"/>
        </w:rPr>
        <w:t>注：若无二/三级文件夹名，则填“/”。</w:t>
      </w:r>
    </w:p>
    <w:p>
      <w:pPr>
        <w:spacing w:line="500" w:lineRule="atLeast"/>
        <w:rPr>
          <w:rFonts w:ascii="宋体" w:hAnsi="宋体" w:cs="宋体"/>
          <w:sz w:val="24"/>
        </w:rPr>
        <w:sectPr>
          <w:pgSz w:w="16838" w:h="11906" w:orient="landscape"/>
          <w:pgMar w:top="1558" w:right="1134" w:bottom="993" w:left="1701" w:header="426" w:footer="583" w:gutter="0"/>
          <w:cols w:space="720" w:num="1"/>
          <w:docGrid w:linePitch="312" w:charSpace="0"/>
        </w:sectPr>
      </w:pPr>
    </w:p>
    <w:p>
      <w:pPr>
        <w:spacing w:line="360" w:lineRule="auto"/>
        <w:outlineLvl w:val="1"/>
        <w:rPr>
          <w:rFonts w:asciiTheme="minorEastAsia" w:hAnsiTheme="minorEastAsia"/>
          <w:sz w:val="24"/>
          <w:szCs w:val="24"/>
        </w:rPr>
      </w:pPr>
      <w:bookmarkStart w:id="95" w:name="_Toc25440"/>
      <w:bookmarkStart w:id="96" w:name="_Toc403829221"/>
      <w:r>
        <w:rPr>
          <w:rFonts w:hint="eastAsia" w:asciiTheme="minorEastAsia" w:hAnsiTheme="minorEastAsia"/>
          <w:sz w:val="24"/>
          <w:szCs w:val="24"/>
        </w:rPr>
        <w:t>附件12-5：《核心电子档案管理目录》</w:t>
      </w:r>
      <w:bookmarkEnd w:id="95"/>
      <w:bookmarkEnd w:id="96"/>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基金会核心电子档案管理目录</w:t>
      </w:r>
    </w:p>
    <w:tbl>
      <w:tblPr>
        <w:tblStyle w:val="9"/>
        <w:tblW w:w="14424" w:type="dxa"/>
        <w:tblInd w:w="0" w:type="dxa"/>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Layout w:type="fixed"/>
        <w:tblCellMar>
          <w:top w:w="0" w:type="dxa"/>
          <w:left w:w="108" w:type="dxa"/>
          <w:bottom w:w="0" w:type="dxa"/>
          <w:right w:w="108" w:type="dxa"/>
        </w:tblCellMar>
      </w:tblPr>
      <w:tblGrid>
        <w:gridCol w:w="1211"/>
        <w:gridCol w:w="1264"/>
        <w:gridCol w:w="1264"/>
        <w:gridCol w:w="1685"/>
        <w:gridCol w:w="1690"/>
        <w:gridCol w:w="2066"/>
        <w:gridCol w:w="1702"/>
        <w:gridCol w:w="992"/>
        <w:gridCol w:w="1134"/>
        <w:gridCol w:w="1416"/>
      </w:tblGrid>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blHeader/>
        </w:trPr>
        <w:tc>
          <w:tcPr>
            <w:tcW w:w="1211"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序号</w:t>
            </w:r>
          </w:p>
        </w:tc>
        <w:tc>
          <w:tcPr>
            <w:tcW w:w="2528" w:type="dxa"/>
            <w:gridSpan w:val="2"/>
            <w:tcBorders>
              <w:top w:val="single" w:color="000000" w:sz="18" w:space="0"/>
              <w:bottom w:val="single" w:color="000000" w:sz="2" w:space="0"/>
            </w:tcBorders>
            <w:vAlign w:val="center"/>
          </w:tcPr>
          <w:p>
            <w:pPr>
              <w:spacing w:line="560" w:lineRule="exact"/>
              <w:jc w:val="center"/>
              <w:rPr>
                <w:rFonts w:ascii="宋体" w:hAnsi="宋体"/>
                <w:b/>
                <w:sz w:val="24"/>
              </w:rPr>
            </w:pPr>
            <w:r>
              <w:rPr>
                <w:rFonts w:hint="eastAsia" w:ascii="宋体" w:hAnsi="宋体"/>
                <w:b/>
                <w:sz w:val="24"/>
              </w:rPr>
              <w:t>文件夹名</w:t>
            </w:r>
          </w:p>
        </w:tc>
        <w:tc>
          <w:tcPr>
            <w:tcW w:w="1685"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项目名称</w:t>
            </w:r>
          </w:p>
        </w:tc>
        <w:tc>
          <w:tcPr>
            <w:tcW w:w="1690"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相关机构</w:t>
            </w:r>
          </w:p>
        </w:tc>
        <w:tc>
          <w:tcPr>
            <w:tcW w:w="2066"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文件名</w:t>
            </w:r>
          </w:p>
        </w:tc>
        <w:tc>
          <w:tcPr>
            <w:tcW w:w="1702"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生成日期</w:t>
            </w:r>
          </w:p>
        </w:tc>
        <w:tc>
          <w:tcPr>
            <w:tcW w:w="992"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页数</w:t>
            </w:r>
          </w:p>
        </w:tc>
        <w:tc>
          <w:tcPr>
            <w:tcW w:w="1134"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文件号</w:t>
            </w:r>
          </w:p>
        </w:tc>
        <w:tc>
          <w:tcPr>
            <w:tcW w:w="1416" w:type="dxa"/>
            <w:vMerge w:val="restart"/>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备注</w:t>
            </w: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blHeader/>
        </w:trPr>
        <w:tc>
          <w:tcPr>
            <w:tcW w:w="1211" w:type="dxa"/>
            <w:vMerge w:val="continue"/>
            <w:vAlign w:val="center"/>
          </w:tcPr>
          <w:p>
            <w:pPr>
              <w:spacing w:line="560" w:lineRule="exact"/>
              <w:jc w:val="center"/>
              <w:rPr>
                <w:rFonts w:ascii="宋体" w:hAnsi="宋体"/>
                <w:b/>
                <w:sz w:val="24"/>
              </w:rPr>
            </w:pPr>
          </w:p>
        </w:tc>
        <w:tc>
          <w:tcPr>
            <w:tcW w:w="1264" w:type="dxa"/>
            <w:tcBorders>
              <w:top w:val="single" w:color="000000" w:sz="2" w:space="0"/>
              <w:bottom w:val="single" w:color="000000" w:sz="6" w:space="0"/>
            </w:tcBorders>
            <w:vAlign w:val="center"/>
          </w:tcPr>
          <w:p>
            <w:pPr>
              <w:spacing w:line="560" w:lineRule="exact"/>
              <w:jc w:val="center"/>
              <w:rPr>
                <w:rFonts w:ascii="宋体" w:hAnsi="宋体"/>
                <w:b/>
                <w:sz w:val="24"/>
              </w:rPr>
            </w:pPr>
            <w:r>
              <w:rPr>
                <w:rFonts w:hint="eastAsia" w:ascii="宋体" w:hAnsi="宋体"/>
                <w:b/>
                <w:sz w:val="24"/>
              </w:rPr>
              <w:t>二级文件夹名</w:t>
            </w:r>
          </w:p>
        </w:tc>
        <w:tc>
          <w:tcPr>
            <w:tcW w:w="1264" w:type="dxa"/>
            <w:tcBorders>
              <w:top w:val="single" w:color="000000" w:sz="2" w:space="0"/>
              <w:bottom w:val="single" w:color="000000" w:sz="6" w:space="0"/>
            </w:tcBorders>
            <w:vAlign w:val="center"/>
          </w:tcPr>
          <w:p>
            <w:pPr>
              <w:spacing w:line="560" w:lineRule="exact"/>
              <w:jc w:val="center"/>
              <w:rPr>
                <w:rFonts w:ascii="宋体" w:hAnsi="宋体"/>
                <w:b/>
                <w:sz w:val="24"/>
              </w:rPr>
            </w:pPr>
            <w:r>
              <w:rPr>
                <w:rFonts w:hint="eastAsia" w:ascii="宋体" w:hAnsi="宋体"/>
                <w:b/>
                <w:sz w:val="24"/>
              </w:rPr>
              <w:t>三级文件夹名</w:t>
            </w:r>
          </w:p>
        </w:tc>
        <w:tc>
          <w:tcPr>
            <w:tcW w:w="1685" w:type="dxa"/>
            <w:vMerge w:val="continue"/>
            <w:vAlign w:val="center"/>
          </w:tcPr>
          <w:p>
            <w:pPr>
              <w:spacing w:line="560" w:lineRule="exact"/>
              <w:jc w:val="center"/>
              <w:rPr>
                <w:rFonts w:ascii="宋体" w:hAnsi="宋体"/>
                <w:b/>
                <w:sz w:val="24"/>
              </w:rPr>
            </w:pPr>
          </w:p>
        </w:tc>
        <w:tc>
          <w:tcPr>
            <w:tcW w:w="1690" w:type="dxa"/>
            <w:vMerge w:val="continue"/>
            <w:vAlign w:val="center"/>
          </w:tcPr>
          <w:p>
            <w:pPr>
              <w:spacing w:line="560" w:lineRule="exact"/>
              <w:jc w:val="center"/>
              <w:rPr>
                <w:rFonts w:ascii="宋体" w:hAnsi="宋体"/>
                <w:b/>
                <w:sz w:val="24"/>
              </w:rPr>
            </w:pPr>
          </w:p>
        </w:tc>
        <w:tc>
          <w:tcPr>
            <w:tcW w:w="2066" w:type="dxa"/>
            <w:vMerge w:val="continue"/>
            <w:vAlign w:val="center"/>
          </w:tcPr>
          <w:p>
            <w:pPr>
              <w:spacing w:line="560" w:lineRule="exact"/>
              <w:jc w:val="center"/>
              <w:rPr>
                <w:rFonts w:ascii="宋体" w:hAnsi="宋体"/>
                <w:b/>
                <w:sz w:val="24"/>
              </w:rPr>
            </w:pPr>
          </w:p>
        </w:tc>
        <w:tc>
          <w:tcPr>
            <w:tcW w:w="1702" w:type="dxa"/>
            <w:vMerge w:val="continue"/>
            <w:vAlign w:val="center"/>
          </w:tcPr>
          <w:p>
            <w:pPr>
              <w:spacing w:line="560" w:lineRule="exact"/>
              <w:jc w:val="center"/>
              <w:rPr>
                <w:rFonts w:ascii="宋体" w:hAnsi="宋体"/>
                <w:b/>
                <w:sz w:val="24"/>
              </w:rPr>
            </w:pPr>
          </w:p>
        </w:tc>
        <w:tc>
          <w:tcPr>
            <w:tcW w:w="992" w:type="dxa"/>
            <w:vMerge w:val="continue"/>
            <w:vAlign w:val="center"/>
          </w:tcPr>
          <w:p>
            <w:pPr>
              <w:spacing w:line="560" w:lineRule="exact"/>
              <w:jc w:val="center"/>
              <w:rPr>
                <w:rFonts w:ascii="宋体" w:hAnsi="宋体"/>
                <w:b/>
                <w:sz w:val="24"/>
              </w:rPr>
            </w:pPr>
          </w:p>
        </w:tc>
        <w:tc>
          <w:tcPr>
            <w:tcW w:w="1134" w:type="dxa"/>
            <w:vMerge w:val="continue"/>
            <w:vAlign w:val="center"/>
          </w:tcPr>
          <w:p>
            <w:pPr>
              <w:spacing w:line="560" w:lineRule="exact"/>
              <w:jc w:val="center"/>
              <w:rPr>
                <w:rFonts w:ascii="宋体" w:hAnsi="宋体"/>
                <w:b/>
                <w:sz w:val="24"/>
              </w:rPr>
            </w:pPr>
          </w:p>
        </w:tc>
        <w:tc>
          <w:tcPr>
            <w:tcW w:w="1416" w:type="dxa"/>
            <w:vMerge w:val="continue"/>
            <w:vAlign w:val="center"/>
          </w:tcPr>
          <w:p>
            <w:pPr>
              <w:spacing w:line="560" w:lineRule="exact"/>
              <w:jc w:val="center"/>
              <w:rPr>
                <w:rFonts w:ascii="宋体" w:hAnsi="宋体"/>
                <w:b/>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211" w:type="dxa"/>
            <w:vMerge w:val="restart"/>
            <w:vAlign w:val="center"/>
          </w:tcPr>
          <w:p>
            <w:pPr>
              <w:spacing w:line="240" w:lineRule="exact"/>
              <w:jc w:val="center"/>
              <w:rPr>
                <w:rFonts w:ascii="宋体" w:hAnsi="宋体"/>
                <w:sz w:val="24"/>
              </w:rPr>
            </w:pPr>
            <w:r>
              <w:rPr>
                <w:rFonts w:hint="eastAsia" w:ascii="宋体" w:hAnsi="宋体"/>
                <w:sz w:val="24"/>
              </w:rPr>
              <w:t>1</w:t>
            </w:r>
          </w:p>
        </w:tc>
        <w:tc>
          <w:tcPr>
            <w:tcW w:w="1264" w:type="dxa"/>
            <w:vMerge w:val="restart"/>
            <w:tcBorders>
              <w:top w:val="single" w:color="000000" w:sz="6" w:space="0"/>
            </w:tcBorders>
            <w:vAlign w:val="center"/>
          </w:tcPr>
          <w:p>
            <w:pPr>
              <w:spacing w:line="240" w:lineRule="exact"/>
              <w:jc w:val="center"/>
              <w:rPr>
                <w:rFonts w:ascii="宋体" w:hAnsi="宋体"/>
                <w:sz w:val="24"/>
              </w:rPr>
            </w:pPr>
          </w:p>
        </w:tc>
        <w:tc>
          <w:tcPr>
            <w:tcW w:w="1264" w:type="dxa"/>
            <w:vMerge w:val="restart"/>
            <w:tcBorders>
              <w:top w:val="single" w:color="000000" w:sz="6" w:space="0"/>
            </w:tcBorders>
            <w:vAlign w:val="center"/>
          </w:tcPr>
          <w:p>
            <w:pPr>
              <w:spacing w:line="240" w:lineRule="exact"/>
              <w:jc w:val="center"/>
              <w:rPr>
                <w:rFonts w:ascii="宋体" w:hAnsi="宋体"/>
                <w:sz w:val="24"/>
              </w:rPr>
            </w:pPr>
          </w:p>
        </w:tc>
        <w:tc>
          <w:tcPr>
            <w:tcW w:w="1685" w:type="dxa"/>
            <w:vMerge w:val="restart"/>
            <w:vAlign w:val="center"/>
          </w:tcPr>
          <w:p>
            <w:pPr>
              <w:spacing w:line="240" w:lineRule="exact"/>
              <w:jc w:val="center"/>
              <w:rPr>
                <w:rFonts w:ascii="宋体" w:hAnsi="宋体"/>
                <w:sz w:val="24"/>
              </w:rPr>
            </w:pPr>
          </w:p>
        </w:tc>
        <w:tc>
          <w:tcPr>
            <w:tcW w:w="1690" w:type="dxa"/>
            <w:vMerge w:val="restart"/>
            <w:vAlign w:val="center"/>
          </w:tcPr>
          <w:p>
            <w:pPr>
              <w:spacing w:line="240" w:lineRule="exact"/>
              <w:jc w:val="center"/>
              <w:rPr>
                <w:rFonts w:ascii="宋体" w:hAnsi="宋体"/>
                <w:sz w:val="24"/>
              </w:rPr>
            </w:pPr>
          </w:p>
        </w:tc>
        <w:tc>
          <w:tcPr>
            <w:tcW w:w="2066" w:type="dxa"/>
            <w:vAlign w:val="center"/>
          </w:tcPr>
          <w:p>
            <w:pPr>
              <w:spacing w:line="240" w:lineRule="exact"/>
              <w:jc w:val="center"/>
              <w:rPr>
                <w:rFonts w:ascii="宋体" w:hAnsi="宋体"/>
                <w:sz w:val="24"/>
              </w:rPr>
            </w:pPr>
          </w:p>
        </w:tc>
        <w:tc>
          <w:tcPr>
            <w:tcW w:w="1702" w:type="dxa"/>
            <w:vAlign w:val="center"/>
          </w:tcPr>
          <w:p>
            <w:pPr>
              <w:spacing w:line="240" w:lineRule="exact"/>
              <w:jc w:val="center"/>
              <w:rPr>
                <w:rFonts w:ascii="宋体" w:hAnsi="宋体"/>
                <w:sz w:val="24"/>
              </w:rPr>
            </w:pPr>
          </w:p>
        </w:tc>
        <w:tc>
          <w:tcPr>
            <w:tcW w:w="992" w:type="dxa"/>
            <w:vAlign w:val="center"/>
          </w:tcPr>
          <w:p>
            <w:pPr>
              <w:spacing w:line="240" w:lineRule="exact"/>
              <w:jc w:val="center"/>
              <w:rPr>
                <w:rFonts w:ascii="宋体" w:hAnsi="宋体"/>
                <w:sz w:val="24"/>
              </w:rPr>
            </w:pPr>
          </w:p>
        </w:tc>
        <w:tc>
          <w:tcPr>
            <w:tcW w:w="1134" w:type="dxa"/>
            <w:vAlign w:val="center"/>
          </w:tcPr>
          <w:p>
            <w:pPr>
              <w:spacing w:line="240" w:lineRule="exact"/>
              <w:jc w:val="center"/>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1</w:t>
            </w:r>
          </w:p>
        </w:tc>
        <w:tc>
          <w:tcPr>
            <w:tcW w:w="141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211"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1690" w:type="dxa"/>
            <w:vMerge w:val="continue"/>
            <w:vAlign w:val="center"/>
          </w:tcPr>
          <w:p>
            <w:pPr>
              <w:spacing w:line="240" w:lineRule="exact"/>
              <w:jc w:val="center"/>
              <w:rPr>
                <w:rFonts w:ascii="宋体" w:hAnsi="宋体"/>
                <w:sz w:val="24"/>
              </w:rPr>
            </w:pPr>
          </w:p>
        </w:tc>
        <w:tc>
          <w:tcPr>
            <w:tcW w:w="2066" w:type="dxa"/>
            <w:vAlign w:val="center"/>
          </w:tcPr>
          <w:p>
            <w:pPr>
              <w:spacing w:line="240" w:lineRule="exact"/>
              <w:jc w:val="center"/>
              <w:rPr>
                <w:rFonts w:ascii="宋体" w:hAnsi="宋体"/>
                <w:sz w:val="24"/>
              </w:rPr>
            </w:pPr>
          </w:p>
        </w:tc>
        <w:tc>
          <w:tcPr>
            <w:tcW w:w="1702" w:type="dxa"/>
            <w:vAlign w:val="center"/>
          </w:tcPr>
          <w:p>
            <w:pPr>
              <w:spacing w:line="240" w:lineRule="exact"/>
              <w:jc w:val="center"/>
              <w:rPr>
                <w:rFonts w:ascii="宋体" w:hAnsi="宋体"/>
                <w:sz w:val="24"/>
              </w:rPr>
            </w:pPr>
          </w:p>
        </w:tc>
        <w:tc>
          <w:tcPr>
            <w:tcW w:w="992" w:type="dxa"/>
            <w:vAlign w:val="center"/>
          </w:tcPr>
          <w:p>
            <w:pPr>
              <w:spacing w:line="240" w:lineRule="exact"/>
              <w:jc w:val="center"/>
              <w:rPr>
                <w:rFonts w:ascii="宋体" w:hAnsi="宋体"/>
                <w:sz w:val="24"/>
              </w:rPr>
            </w:pPr>
          </w:p>
        </w:tc>
        <w:tc>
          <w:tcPr>
            <w:tcW w:w="1134" w:type="dxa"/>
            <w:vAlign w:val="center"/>
          </w:tcPr>
          <w:p>
            <w:pPr>
              <w:spacing w:line="240" w:lineRule="exact"/>
              <w:jc w:val="center"/>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2</w:t>
            </w:r>
          </w:p>
        </w:tc>
        <w:tc>
          <w:tcPr>
            <w:tcW w:w="141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211"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1690" w:type="dxa"/>
            <w:vMerge w:val="continue"/>
            <w:vAlign w:val="center"/>
          </w:tcPr>
          <w:p>
            <w:pPr>
              <w:spacing w:line="240" w:lineRule="exact"/>
              <w:jc w:val="center"/>
              <w:rPr>
                <w:rFonts w:ascii="宋体" w:hAnsi="宋体"/>
                <w:sz w:val="24"/>
              </w:rPr>
            </w:pPr>
          </w:p>
        </w:tc>
        <w:tc>
          <w:tcPr>
            <w:tcW w:w="2066" w:type="dxa"/>
            <w:vAlign w:val="center"/>
          </w:tcPr>
          <w:p>
            <w:pPr>
              <w:spacing w:line="240" w:lineRule="exact"/>
              <w:jc w:val="center"/>
              <w:rPr>
                <w:rFonts w:ascii="宋体" w:hAnsi="宋体"/>
                <w:sz w:val="24"/>
              </w:rPr>
            </w:pPr>
          </w:p>
        </w:tc>
        <w:tc>
          <w:tcPr>
            <w:tcW w:w="1702" w:type="dxa"/>
            <w:vAlign w:val="center"/>
          </w:tcPr>
          <w:p>
            <w:pPr>
              <w:spacing w:line="240" w:lineRule="exact"/>
              <w:jc w:val="center"/>
              <w:rPr>
                <w:rFonts w:ascii="宋体" w:hAnsi="宋体"/>
                <w:sz w:val="24"/>
              </w:rPr>
            </w:pPr>
          </w:p>
        </w:tc>
        <w:tc>
          <w:tcPr>
            <w:tcW w:w="992" w:type="dxa"/>
            <w:vAlign w:val="center"/>
          </w:tcPr>
          <w:p>
            <w:pPr>
              <w:spacing w:line="240" w:lineRule="exact"/>
              <w:jc w:val="center"/>
              <w:rPr>
                <w:rFonts w:ascii="宋体" w:hAnsi="宋体"/>
                <w:sz w:val="24"/>
              </w:rPr>
            </w:pPr>
          </w:p>
        </w:tc>
        <w:tc>
          <w:tcPr>
            <w:tcW w:w="1134"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211"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1690" w:type="dxa"/>
            <w:vMerge w:val="continue"/>
            <w:vAlign w:val="center"/>
          </w:tcPr>
          <w:p>
            <w:pPr>
              <w:spacing w:line="240" w:lineRule="exact"/>
              <w:jc w:val="center"/>
              <w:rPr>
                <w:rFonts w:ascii="宋体" w:hAnsi="宋体"/>
                <w:sz w:val="24"/>
              </w:rPr>
            </w:pPr>
          </w:p>
        </w:tc>
        <w:tc>
          <w:tcPr>
            <w:tcW w:w="2066" w:type="dxa"/>
            <w:vAlign w:val="center"/>
          </w:tcPr>
          <w:p>
            <w:pPr>
              <w:spacing w:line="240" w:lineRule="exact"/>
              <w:jc w:val="center"/>
              <w:rPr>
                <w:rFonts w:ascii="宋体" w:hAnsi="宋体"/>
                <w:sz w:val="24"/>
              </w:rPr>
            </w:pPr>
          </w:p>
        </w:tc>
        <w:tc>
          <w:tcPr>
            <w:tcW w:w="1702" w:type="dxa"/>
            <w:vAlign w:val="center"/>
          </w:tcPr>
          <w:p>
            <w:pPr>
              <w:spacing w:line="240" w:lineRule="exact"/>
              <w:jc w:val="center"/>
              <w:rPr>
                <w:rFonts w:ascii="宋体" w:hAnsi="宋体"/>
                <w:sz w:val="24"/>
              </w:rPr>
            </w:pPr>
          </w:p>
        </w:tc>
        <w:tc>
          <w:tcPr>
            <w:tcW w:w="992" w:type="dxa"/>
            <w:vAlign w:val="center"/>
          </w:tcPr>
          <w:p>
            <w:pPr>
              <w:spacing w:line="240" w:lineRule="exact"/>
              <w:jc w:val="center"/>
              <w:rPr>
                <w:rFonts w:ascii="宋体" w:hAnsi="宋体"/>
                <w:sz w:val="24"/>
              </w:rPr>
            </w:pPr>
          </w:p>
        </w:tc>
        <w:tc>
          <w:tcPr>
            <w:tcW w:w="1134"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211" w:type="dxa"/>
            <w:vMerge w:val="restart"/>
            <w:vAlign w:val="center"/>
          </w:tcPr>
          <w:p>
            <w:pPr>
              <w:spacing w:line="240" w:lineRule="exact"/>
              <w:jc w:val="center"/>
              <w:rPr>
                <w:rFonts w:ascii="宋体" w:hAnsi="宋体"/>
                <w:sz w:val="24"/>
              </w:rPr>
            </w:pPr>
            <w:r>
              <w:rPr>
                <w:rFonts w:hint="eastAsia" w:ascii="宋体" w:hAnsi="宋体"/>
                <w:sz w:val="24"/>
              </w:rPr>
              <w:t>2</w:t>
            </w:r>
          </w:p>
        </w:tc>
        <w:tc>
          <w:tcPr>
            <w:tcW w:w="1264" w:type="dxa"/>
            <w:vMerge w:val="restart"/>
            <w:vAlign w:val="center"/>
          </w:tcPr>
          <w:p>
            <w:pPr>
              <w:spacing w:line="240" w:lineRule="exact"/>
              <w:jc w:val="center"/>
              <w:rPr>
                <w:rFonts w:ascii="宋体" w:hAnsi="宋体"/>
                <w:sz w:val="24"/>
              </w:rPr>
            </w:pPr>
          </w:p>
        </w:tc>
        <w:tc>
          <w:tcPr>
            <w:tcW w:w="1264" w:type="dxa"/>
            <w:vMerge w:val="restart"/>
            <w:vAlign w:val="center"/>
          </w:tcPr>
          <w:p>
            <w:pPr>
              <w:spacing w:line="240" w:lineRule="exact"/>
              <w:jc w:val="center"/>
              <w:rPr>
                <w:rFonts w:ascii="宋体" w:hAnsi="宋体"/>
                <w:sz w:val="24"/>
              </w:rPr>
            </w:pPr>
          </w:p>
        </w:tc>
        <w:tc>
          <w:tcPr>
            <w:tcW w:w="1685" w:type="dxa"/>
            <w:vMerge w:val="restart"/>
            <w:vAlign w:val="center"/>
          </w:tcPr>
          <w:p>
            <w:pPr>
              <w:spacing w:line="240" w:lineRule="exact"/>
              <w:jc w:val="center"/>
              <w:rPr>
                <w:rFonts w:ascii="宋体" w:hAnsi="宋体"/>
                <w:sz w:val="24"/>
              </w:rPr>
            </w:pPr>
          </w:p>
        </w:tc>
        <w:tc>
          <w:tcPr>
            <w:tcW w:w="1690" w:type="dxa"/>
            <w:vMerge w:val="restart"/>
            <w:vAlign w:val="center"/>
          </w:tcPr>
          <w:p>
            <w:pPr>
              <w:spacing w:line="240" w:lineRule="exact"/>
              <w:jc w:val="center"/>
              <w:rPr>
                <w:rFonts w:ascii="宋体" w:hAnsi="宋体"/>
                <w:sz w:val="24"/>
              </w:rPr>
            </w:pPr>
          </w:p>
        </w:tc>
        <w:tc>
          <w:tcPr>
            <w:tcW w:w="2066" w:type="dxa"/>
            <w:vAlign w:val="center"/>
          </w:tcPr>
          <w:p>
            <w:pPr>
              <w:spacing w:line="240" w:lineRule="exact"/>
              <w:jc w:val="center"/>
              <w:rPr>
                <w:rFonts w:ascii="宋体" w:hAnsi="宋体"/>
                <w:sz w:val="24"/>
              </w:rPr>
            </w:pPr>
          </w:p>
        </w:tc>
        <w:tc>
          <w:tcPr>
            <w:tcW w:w="1702" w:type="dxa"/>
            <w:vAlign w:val="center"/>
          </w:tcPr>
          <w:p>
            <w:pPr>
              <w:spacing w:line="240" w:lineRule="exact"/>
              <w:jc w:val="center"/>
              <w:rPr>
                <w:rFonts w:ascii="宋体" w:hAnsi="宋体"/>
                <w:sz w:val="24"/>
              </w:rPr>
            </w:pPr>
          </w:p>
        </w:tc>
        <w:tc>
          <w:tcPr>
            <w:tcW w:w="992" w:type="dxa"/>
            <w:vAlign w:val="center"/>
          </w:tcPr>
          <w:p>
            <w:pPr>
              <w:spacing w:line="240" w:lineRule="exact"/>
              <w:jc w:val="center"/>
              <w:rPr>
                <w:rFonts w:ascii="宋体" w:hAnsi="宋体"/>
                <w:sz w:val="24"/>
              </w:rPr>
            </w:pPr>
          </w:p>
        </w:tc>
        <w:tc>
          <w:tcPr>
            <w:tcW w:w="1134" w:type="dxa"/>
            <w:vAlign w:val="center"/>
          </w:tcPr>
          <w:p>
            <w:pPr>
              <w:spacing w:line="240" w:lineRule="exact"/>
              <w:jc w:val="center"/>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1</w:t>
            </w:r>
          </w:p>
        </w:tc>
        <w:tc>
          <w:tcPr>
            <w:tcW w:w="141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211"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1690" w:type="dxa"/>
            <w:vMerge w:val="continue"/>
            <w:vAlign w:val="center"/>
          </w:tcPr>
          <w:p>
            <w:pPr>
              <w:spacing w:line="240" w:lineRule="exact"/>
              <w:jc w:val="center"/>
              <w:rPr>
                <w:rFonts w:ascii="宋体" w:hAnsi="宋体"/>
                <w:sz w:val="24"/>
              </w:rPr>
            </w:pPr>
          </w:p>
        </w:tc>
        <w:tc>
          <w:tcPr>
            <w:tcW w:w="2066" w:type="dxa"/>
            <w:vAlign w:val="center"/>
          </w:tcPr>
          <w:p>
            <w:pPr>
              <w:spacing w:line="240" w:lineRule="exact"/>
              <w:jc w:val="center"/>
              <w:rPr>
                <w:rFonts w:ascii="宋体" w:hAnsi="宋体"/>
                <w:sz w:val="24"/>
              </w:rPr>
            </w:pPr>
          </w:p>
        </w:tc>
        <w:tc>
          <w:tcPr>
            <w:tcW w:w="1702" w:type="dxa"/>
            <w:vAlign w:val="center"/>
          </w:tcPr>
          <w:p>
            <w:pPr>
              <w:spacing w:line="240" w:lineRule="exact"/>
              <w:jc w:val="center"/>
              <w:rPr>
                <w:rFonts w:ascii="宋体" w:hAnsi="宋体"/>
                <w:sz w:val="24"/>
              </w:rPr>
            </w:pPr>
          </w:p>
        </w:tc>
        <w:tc>
          <w:tcPr>
            <w:tcW w:w="992" w:type="dxa"/>
            <w:vAlign w:val="center"/>
          </w:tcPr>
          <w:p>
            <w:pPr>
              <w:spacing w:line="240" w:lineRule="exact"/>
              <w:jc w:val="center"/>
              <w:rPr>
                <w:rFonts w:ascii="宋体" w:hAnsi="宋体"/>
                <w:sz w:val="24"/>
              </w:rPr>
            </w:pPr>
          </w:p>
        </w:tc>
        <w:tc>
          <w:tcPr>
            <w:tcW w:w="1134" w:type="dxa"/>
            <w:vAlign w:val="center"/>
          </w:tcPr>
          <w:p>
            <w:pPr>
              <w:spacing w:line="240" w:lineRule="exact"/>
              <w:jc w:val="center"/>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2</w:t>
            </w:r>
          </w:p>
        </w:tc>
        <w:tc>
          <w:tcPr>
            <w:tcW w:w="141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211"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1690" w:type="dxa"/>
            <w:vMerge w:val="continue"/>
            <w:vAlign w:val="center"/>
          </w:tcPr>
          <w:p>
            <w:pPr>
              <w:spacing w:line="240" w:lineRule="exact"/>
              <w:jc w:val="center"/>
              <w:rPr>
                <w:rFonts w:ascii="宋体" w:hAnsi="宋体"/>
                <w:sz w:val="24"/>
              </w:rPr>
            </w:pPr>
          </w:p>
        </w:tc>
        <w:tc>
          <w:tcPr>
            <w:tcW w:w="2066" w:type="dxa"/>
            <w:vAlign w:val="center"/>
          </w:tcPr>
          <w:p>
            <w:pPr>
              <w:spacing w:line="240" w:lineRule="exact"/>
              <w:jc w:val="center"/>
              <w:rPr>
                <w:rFonts w:ascii="宋体" w:hAnsi="宋体"/>
                <w:sz w:val="24"/>
              </w:rPr>
            </w:pPr>
          </w:p>
        </w:tc>
        <w:tc>
          <w:tcPr>
            <w:tcW w:w="1702" w:type="dxa"/>
            <w:vAlign w:val="center"/>
          </w:tcPr>
          <w:p>
            <w:pPr>
              <w:spacing w:line="240" w:lineRule="exact"/>
              <w:jc w:val="center"/>
              <w:rPr>
                <w:rFonts w:ascii="宋体" w:hAnsi="宋体"/>
                <w:sz w:val="24"/>
              </w:rPr>
            </w:pPr>
          </w:p>
        </w:tc>
        <w:tc>
          <w:tcPr>
            <w:tcW w:w="992" w:type="dxa"/>
            <w:vAlign w:val="center"/>
          </w:tcPr>
          <w:p>
            <w:pPr>
              <w:spacing w:line="240" w:lineRule="exact"/>
              <w:jc w:val="center"/>
              <w:rPr>
                <w:rFonts w:ascii="宋体" w:hAnsi="宋体"/>
                <w:sz w:val="24"/>
              </w:rPr>
            </w:pPr>
          </w:p>
        </w:tc>
        <w:tc>
          <w:tcPr>
            <w:tcW w:w="1134"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211" w:type="dxa"/>
            <w:vMerge w:val="restart"/>
            <w:vAlign w:val="center"/>
          </w:tcPr>
          <w:p>
            <w:pPr>
              <w:spacing w:line="240" w:lineRule="exact"/>
              <w:jc w:val="center"/>
              <w:rPr>
                <w:rFonts w:ascii="宋体" w:hAnsi="宋体"/>
                <w:sz w:val="24"/>
              </w:rPr>
            </w:pPr>
            <w:r>
              <w:rPr>
                <w:rFonts w:hint="eastAsia" w:ascii="宋体" w:hAnsi="宋体"/>
                <w:sz w:val="24"/>
              </w:rPr>
              <w:t>3</w:t>
            </w:r>
          </w:p>
        </w:tc>
        <w:tc>
          <w:tcPr>
            <w:tcW w:w="1264" w:type="dxa"/>
            <w:vMerge w:val="restart"/>
            <w:vAlign w:val="center"/>
          </w:tcPr>
          <w:p>
            <w:pPr>
              <w:spacing w:line="240" w:lineRule="exact"/>
              <w:jc w:val="center"/>
              <w:rPr>
                <w:rFonts w:ascii="宋体" w:hAnsi="宋体"/>
                <w:sz w:val="24"/>
              </w:rPr>
            </w:pPr>
          </w:p>
        </w:tc>
        <w:tc>
          <w:tcPr>
            <w:tcW w:w="1264" w:type="dxa"/>
            <w:vMerge w:val="restart"/>
            <w:vAlign w:val="center"/>
          </w:tcPr>
          <w:p>
            <w:pPr>
              <w:spacing w:line="240" w:lineRule="exact"/>
              <w:jc w:val="center"/>
              <w:rPr>
                <w:rFonts w:ascii="宋体" w:hAnsi="宋体"/>
                <w:sz w:val="24"/>
              </w:rPr>
            </w:pPr>
          </w:p>
        </w:tc>
        <w:tc>
          <w:tcPr>
            <w:tcW w:w="1685" w:type="dxa"/>
            <w:vMerge w:val="restart"/>
            <w:vAlign w:val="center"/>
          </w:tcPr>
          <w:p>
            <w:pPr>
              <w:spacing w:line="240" w:lineRule="exact"/>
              <w:jc w:val="center"/>
              <w:rPr>
                <w:rFonts w:ascii="宋体" w:hAnsi="宋体"/>
                <w:sz w:val="24"/>
              </w:rPr>
            </w:pPr>
          </w:p>
        </w:tc>
        <w:tc>
          <w:tcPr>
            <w:tcW w:w="1690" w:type="dxa"/>
            <w:vMerge w:val="restart"/>
            <w:vAlign w:val="center"/>
          </w:tcPr>
          <w:p>
            <w:pPr>
              <w:spacing w:line="240" w:lineRule="exact"/>
              <w:jc w:val="center"/>
              <w:rPr>
                <w:rFonts w:ascii="宋体" w:hAnsi="宋体"/>
                <w:sz w:val="24"/>
              </w:rPr>
            </w:pPr>
          </w:p>
        </w:tc>
        <w:tc>
          <w:tcPr>
            <w:tcW w:w="2066" w:type="dxa"/>
            <w:vAlign w:val="center"/>
          </w:tcPr>
          <w:p>
            <w:pPr>
              <w:spacing w:line="240" w:lineRule="exact"/>
              <w:jc w:val="center"/>
              <w:rPr>
                <w:rFonts w:ascii="宋体" w:hAnsi="宋体"/>
                <w:sz w:val="24"/>
              </w:rPr>
            </w:pPr>
          </w:p>
        </w:tc>
        <w:tc>
          <w:tcPr>
            <w:tcW w:w="1702" w:type="dxa"/>
            <w:vAlign w:val="center"/>
          </w:tcPr>
          <w:p>
            <w:pPr>
              <w:spacing w:line="240" w:lineRule="exact"/>
              <w:jc w:val="center"/>
              <w:rPr>
                <w:rFonts w:ascii="宋体" w:hAnsi="宋体"/>
                <w:sz w:val="24"/>
              </w:rPr>
            </w:pPr>
          </w:p>
        </w:tc>
        <w:tc>
          <w:tcPr>
            <w:tcW w:w="992" w:type="dxa"/>
            <w:vAlign w:val="center"/>
          </w:tcPr>
          <w:p>
            <w:pPr>
              <w:spacing w:line="240" w:lineRule="exact"/>
              <w:jc w:val="center"/>
              <w:rPr>
                <w:rFonts w:ascii="宋体" w:hAnsi="宋体"/>
                <w:sz w:val="24"/>
              </w:rPr>
            </w:pPr>
          </w:p>
        </w:tc>
        <w:tc>
          <w:tcPr>
            <w:tcW w:w="1134" w:type="dxa"/>
            <w:vAlign w:val="center"/>
          </w:tcPr>
          <w:p>
            <w:pPr>
              <w:spacing w:line="240" w:lineRule="exact"/>
              <w:jc w:val="center"/>
              <w:rPr>
                <w:rFonts w:ascii="宋体" w:hAnsi="宋体"/>
                <w:sz w:val="24"/>
              </w:rPr>
            </w:pPr>
            <w:r>
              <w:rPr>
                <w:rFonts w:hint="eastAsia" w:ascii="宋体" w:hAnsi="宋体"/>
                <w:sz w:val="24"/>
              </w:rPr>
              <w:t>3-1</w:t>
            </w:r>
          </w:p>
        </w:tc>
        <w:tc>
          <w:tcPr>
            <w:tcW w:w="141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211"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1690" w:type="dxa"/>
            <w:vMerge w:val="continue"/>
            <w:vAlign w:val="center"/>
          </w:tcPr>
          <w:p>
            <w:pPr>
              <w:spacing w:line="240" w:lineRule="exact"/>
              <w:jc w:val="center"/>
              <w:rPr>
                <w:rFonts w:ascii="宋体" w:hAnsi="宋体"/>
                <w:sz w:val="24"/>
              </w:rPr>
            </w:pPr>
          </w:p>
        </w:tc>
        <w:tc>
          <w:tcPr>
            <w:tcW w:w="2066" w:type="dxa"/>
            <w:vAlign w:val="center"/>
          </w:tcPr>
          <w:p>
            <w:pPr>
              <w:spacing w:line="240" w:lineRule="exact"/>
              <w:jc w:val="center"/>
              <w:rPr>
                <w:rFonts w:ascii="宋体" w:hAnsi="宋体"/>
                <w:sz w:val="24"/>
              </w:rPr>
            </w:pPr>
          </w:p>
        </w:tc>
        <w:tc>
          <w:tcPr>
            <w:tcW w:w="1702" w:type="dxa"/>
            <w:vAlign w:val="center"/>
          </w:tcPr>
          <w:p>
            <w:pPr>
              <w:spacing w:line="240" w:lineRule="exact"/>
              <w:jc w:val="center"/>
              <w:rPr>
                <w:rFonts w:ascii="宋体" w:hAnsi="宋体"/>
                <w:sz w:val="24"/>
              </w:rPr>
            </w:pPr>
          </w:p>
        </w:tc>
        <w:tc>
          <w:tcPr>
            <w:tcW w:w="992" w:type="dxa"/>
            <w:vAlign w:val="center"/>
          </w:tcPr>
          <w:p>
            <w:pPr>
              <w:spacing w:line="240" w:lineRule="exact"/>
              <w:jc w:val="center"/>
              <w:rPr>
                <w:rFonts w:ascii="宋体" w:hAnsi="宋体"/>
                <w:sz w:val="24"/>
              </w:rPr>
            </w:pPr>
          </w:p>
        </w:tc>
        <w:tc>
          <w:tcPr>
            <w:tcW w:w="1134" w:type="dxa"/>
            <w:vAlign w:val="center"/>
          </w:tcPr>
          <w:p>
            <w:pPr>
              <w:spacing w:line="240" w:lineRule="exact"/>
              <w:jc w:val="center"/>
              <w:rPr>
                <w:rFonts w:ascii="宋体" w:hAnsi="宋体"/>
                <w:sz w:val="24"/>
              </w:rPr>
            </w:pPr>
            <w:r>
              <w:rPr>
                <w:rFonts w:hint="eastAsia" w:ascii="宋体" w:hAnsi="宋体"/>
                <w:sz w:val="24"/>
              </w:rPr>
              <w:t>3-2</w:t>
            </w:r>
          </w:p>
        </w:tc>
        <w:tc>
          <w:tcPr>
            <w:tcW w:w="1416"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211"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264" w:type="dxa"/>
            <w:vMerge w:val="continue"/>
            <w:vAlign w:val="center"/>
          </w:tcPr>
          <w:p>
            <w:pPr>
              <w:spacing w:line="240" w:lineRule="exact"/>
              <w:jc w:val="center"/>
              <w:rPr>
                <w:rFonts w:ascii="宋体" w:hAnsi="宋体"/>
                <w:sz w:val="24"/>
              </w:rPr>
            </w:pPr>
          </w:p>
        </w:tc>
        <w:tc>
          <w:tcPr>
            <w:tcW w:w="1685" w:type="dxa"/>
            <w:vMerge w:val="continue"/>
            <w:vAlign w:val="center"/>
          </w:tcPr>
          <w:p>
            <w:pPr>
              <w:spacing w:line="240" w:lineRule="exact"/>
              <w:jc w:val="center"/>
              <w:rPr>
                <w:rFonts w:ascii="宋体" w:hAnsi="宋体"/>
                <w:sz w:val="24"/>
              </w:rPr>
            </w:pPr>
          </w:p>
        </w:tc>
        <w:tc>
          <w:tcPr>
            <w:tcW w:w="1690" w:type="dxa"/>
            <w:vMerge w:val="continue"/>
            <w:vAlign w:val="center"/>
          </w:tcPr>
          <w:p>
            <w:pPr>
              <w:spacing w:line="240" w:lineRule="exact"/>
              <w:jc w:val="center"/>
              <w:rPr>
                <w:rFonts w:ascii="宋体" w:hAnsi="宋体"/>
                <w:sz w:val="24"/>
              </w:rPr>
            </w:pPr>
          </w:p>
        </w:tc>
        <w:tc>
          <w:tcPr>
            <w:tcW w:w="2066" w:type="dxa"/>
            <w:vAlign w:val="center"/>
          </w:tcPr>
          <w:p>
            <w:pPr>
              <w:spacing w:line="240" w:lineRule="exact"/>
              <w:jc w:val="center"/>
              <w:rPr>
                <w:rFonts w:ascii="宋体" w:hAnsi="宋体"/>
                <w:sz w:val="24"/>
              </w:rPr>
            </w:pPr>
          </w:p>
        </w:tc>
        <w:tc>
          <w:tcPr>
            <w:tcW w:w="1702" w:type="dxa"/>
            <w:vAlign w:val="center"/>
          </w:tcPr>
          <w:p>
            <w:pPr>
              <w:spacing w:line="240" w:lineRule="exact"/>
              <w:jc w:val="center"/>
              <w:rPr>
                <w:rFonts w:ascii="宋体" w:hAnsi="宋体"/>
                <w:sz w:val="24"/>
              </w:rPr>
            </w:pPr>
          </w:p>
        </w:tc>
        <w:tc>
          <w:tcPr>
            <w:tcW w:w="992" w:type="dxa"/>
            <w:vAlign w:val="center"/>
          </w:tcPr>
          <w:p>
            <w:pPr>
              <w:spacing w:line="240" w:lineRule="exact"/>
              <w:jc w:val="center"/>
              <w:rPr>
                <w:rFonts w:ascii="宋体" w:hAnsi="宋体"/>
                <w:sz w:val="24"/>
              </w:rPr>
            </w:pPr>
          </w:p>
        </w:tc>
        <w:tc>
          <w:tcPr>
            <w:tcW w:w="1134" w:type="dxa"/>
            <w:vAlign w:val="center"/>
          </w:tcPr>
          <w:p>
            <w:pPr>
              <w:spacing w:line="240" w:lineRule="exact"/>
              <w:jc w:val="center"/>
              <w:rPr>
                <w:rFonts w:ascii="宋体" w:hAnsi="宋体"/>
                <w:sz w:val="24"/>
              </w:rPr>
            </w:pPr>
          </w:p>
        </w:tc>
        <w:tc>
          <w:tcPr>
            <w:tcW w:w="1416" w:type="dxa"/>
            <w:vAlign w:val="center"/>
          </w:tcPr>
          <w:p>
            <w:pPr>
              <w:spacing w:line="240" w:lineRule="exact"/>
              <w:jc w:val="center"/>
              <w:rPr>
                <w:rFonts w:ascii="宋体" w:hAnsi="宋体"/>
                <w:sz w:val="24"/>
              </w:rPr>
            </w:pPr>
          </w:p>
        </w:tc>
      </w:tr>
    </w:tbl>
    <w:p>
      <w:pPr>
        <w:spacing w:line="500" w:lineRule="atLeast"/>
        <w:rPr>
          <w:rFonts w:ascii="宋体" w:hAnsi="宋体" w:cs="宋体"/>
          <w:sz w:val="24"/>
        </w:rPr>
      </w:pPr>
      <w:r>
        <w:rPr>
          <w:rFonts w:hint="eastAsia" w:ascii="宋体" w:hAnsi="宋体" w:cs="宋体"/>
          <w:sz w:val="24"/>
        </w:rPr>
        <w:t>注：若无具体相关项目，可不填写；若无二/三级文件夹名，则填“/”。</w:t>
      </w:r>
    </w:p>
    <w:p>
      <w:pPr>
        <w:spacing w:line="500" w:lineRule="atLeast"/>
        <w:rPr>
          <w:rFonts w:ascii="宋体" w:hAnsi="宋体" w:cs="宋体"/>
          <w:sz w:val="24"/>
        </w:rPr>
        <w:sectPr>
          <w:pgSz w:w="16838" w:h="11906" w:orient="landscape"/>
          <w:pgMar w:top="1558" w:right="1134" w:bottom="993" w:left="1701" w:header="426" w:footer="583" w:gutter="0"/>
          <w:cols w:space="720" w:num="1"/>
          <w:docGrid w:linePitch="312" w:charSpace="0"/>
        </w:sectPr>
      </w:pPr>
    </w:p>
    <w:p>
      <w:pPr>
        <w:spacing w:line="360" w:lineRule="auto"/>
        <w:outlineLvl w:val="1"/>
        <w:rPr>
          <w:rFonts w:asciiTheme="minorEastAsia" w:hAnsiTheme="minorEastAsia"/>
          <w:sz w:val="24"/>
          <w:szCs w:val="24"/>
        </w:rPr>
      </w:pPr>
      <w:bookmarkStart w:id="97" w:name="_Toc2671"/>
      <w:bookmarkStart w:id="98" w:name="_Toc403829222"/>
      <w:r>
        <w:rPr>
          <w:rFonts w:hint="eastAsia" w:asciiTheme="minorEastAsia" w:hAnsiTheme="minorEastAsia"/>
          <w:sz w:val="24"/>
          <w:szCs w:val="24"/>
        </w:rPr>
        <w:t>附件12-6：《档案借阅登记表》</w:t>
      </w:r>
      <w:bookmarkEnd w:id="97"/>
      <w:bookmarkEnd w:id="98"/>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基金会档案借阅登记表</w:t>
      </w:r>
    </w:p>
    <w:tbl>
      <w:tblPr>
        <w:tblStyle w:val="9"/>
        <w:tblW w:w="14219" w:type="dxa"/>
        <w:tblInd w:w="0" w:type="dxa"/>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Layout w:type="fixed"/>
        <w:tblCellMar>
          <w:top w:w="0" w:type="dxa"/>
          <w:left w:w="108" w:type="dxa"/>
          <w:bottom w:w="0" w:type="dxa"/>
          <w:right w:w="108" w:type="dxa"/>
        </w:tblCellMar>
      </w:tblPr>
      <w:tblGrid>
        <w:gridCol w:w="1720"/>
        <w:gridCol w:w="2864"/>
        <w:gridCol w:w="2104"/>
        <w:gridCol w:w="1928"/>
        <w:gridCol w:w="1877"/>
        <w:gridCol w:w="1863"/>
        <w:gridCol w:w="1863"/>
      </w:tblGrid>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blHeader/>
        </w:trPr>
        <w:tc>
          <w:tcPr>
            <w:tcW w:w="1720"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序号</w:t>
            </w:r>
          </w:p>
        </w:tc>
        <w:tc>
          <w:tcPr>
            <w:tcW w:w="2864"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借阅文件名</w:t>
            </w:r>
          </w:p>
        </w:tc>
        <w:tc>
          <w:tcPr>
            <w:tcW w:w="2104"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借阅文件号</w:t>
            </w:r>
          </w:p>
        </w:tc>
        <w:tc>
          <w:tcPr>
            <w:tcW w:w="1928"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借阅日期</w:t>
            </w:r>
          </w:p>
        </w:tc>
        <w:tc>
          <w:tcPr>
            <w:tcW w:w="1877"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归还日期</w:t>
            </w:r>
          </w:p>
        </w:tc>
        <w:tc>
          <w:tcPr>
            <w:tcW w:w="1863"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是否复印</w:t>
            </w:r>
          </w:p>
        </w:tc>
        <w:tc>
          <w:tcPr>
            <w:tcW w:w="1863"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借阅人</w:t>
            </w: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720" w:type="dxa"/>
            <w:vAlign w:val="center"/>
          </w:tcPr>
          <w:p>
            <w:pPr>
              <w:spacing w:line="240" w:lineRule="exact"/>
              <w:jc w:val="center"/>
              <w:rPr>
                <w:rFonts w:ascii="宋体" w:hAnsi="宋体"/>
                <w:sz w:val="24"/>
              </w:rPr>
            </w:pPr>
            <w:r>
              <w:rPr>
                <w:rFonts w:hint="eastAsia" w:ascii="宋体" w:hAnsi="宋体"/>
                <w:sz w:val="24"/>
              </w:rPr>
              <w:t>1</w:t>
            </w:r>
          </w:p>
        </w:tc>
        <w:tc>
          <w:tcPr>
            <w:tcW w:w="2864" w:type="dxa"/>
            <w:vAlign w:val="center"/>
          </w:tcPr>
          <w:p>
            <w:pPr>
              <w:spacing w:line="240" w:lineRule="exact"/>
              <w:jc w:val="center"/>
              <w:rPr>
                <w:rFonts w:ascii="宋体" w:hAnsi="宋体"/>
                <w:sz w:val="24"/>
              </w:rPr>
            </w:pPr>
          </w:p>
        </w:tc>
        <w:tc>
          <w:tcPr>
            <w:tcW w:w="2104" w:type="dxa"/>
            <w:vAlign w:val="center"/>
          </w:tcPr>
          <w:p>
            <w:pPr>
              <w:spacing w:line="240" w:lineRule="exact"/>
              <w:jc w:val="center"/>
              <w:rPr>
                <w:rFonts w:ascii="宋体" w:hAnsi="宋体"/>
                <w:sz w:val="24"/>
              </w:rPr>
            </w:pPr>
          </w:p>
        </w:tc>
        <w:tc>
          <w:tcPr>
            <w:tcW w:w="1928" w:type="dxa"/>
            <w:vAlign w:val="center"/>
          </w:tcPr>
          <w:p>
            <w:pPr>
              <w:spacing w:line="240" w:lineRule="exact"/>
              <w:jc w:val="center"/>
              <w:rPr>
                <w:rFonts w:ascii="宋体" w:hAnsi="宋体"/>
                <w:sz w:val="24"/>
              </w:rPr>
            </w:pPr>
          </w:p>
        </w:tc>
        <w:tc>
          <w:tcPr>
            <w:tcW w:w="1877"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720" w:type="dxa"/>
            <w:vAlign w:val="center"/>
          </w:tcPr>
          <w:p>
            <w:pPr>
              <w:spacing w:line="240" w:lineRule="exact"/>
              <w:jc w:val="center"/>
              <w:rPr>
                <w:rFonts w:ascii="宋体" w:hAnsi="宋体"/>
                <w:sz w:val="24"/>
              </w:rPr>
            </w:pPr>
            <w:r>
              <w:rPr>
                <w:rFonts w:hint="eastAsia" w:ascii="宋体" w:hAnsi="宋体"/>
                <w:sz w:val="24"/>
              </w:rPr>
              <w:t>2</w:t>
            </w:r>
          </w:p>
        </w:tc>
        <w:tc>
          <w:tcPr>
            <w:tcW w:w="2864" w:type="dxa"/>
            <w:vAlign w:val="center"/>
          </w:tcPr>
          <w:p>
            <w:pPr>
              <w:spacing w:line="240" w:lineRule="exact"/>
              <w:jc w:val="center"/>
              <w:rPr>
                <w:rFonts w:ascii="宋体" w:hAnsi="宋体"/>
                <w:sz w:val="24"/>
              </w:rPr>
            </w:pPr>
          </w:p>
        </w:tc>
        <w:tc>
          <w:tcPr>
            <w:tcW w:w="2104" w:type="dxa"/>
            <w:vAlign w:val="center"/>
          </w:tcPr>
          <w:p>
            <w:pPr>
              <w:spacing w:line="240" w:lineRule="exact"/>
              <w:jc w:val="center"/>
              <w:rPr>
                <w:rFonts w:ascii="宋体" w:hAnsi="宋体"/>
                <w:sz w:val="24"/>
              </w:rPr>
            </w:pPr>
          </w:p>
        </w:tc>
        <w:tc>
          <w:tcPr>
            <w:tcW w:w="1928" w:type="dxa"/>
            <w:vAlign w:val="center"/>
          </w:tcPr>
          <w:p>
            <w:pPr>
              <w:spacing w:line="240" w:lineRule="exact"/>
              <w:jc w:val="center"/>
              <w:rPr>
                <w:rFonts w:ascii="宋体" w:hAnsi="宋体"/>
                <w:sz w:val="24"/>
              </w:rPr>
            </w:pPr>
          </w:p>
        </w:tc>
        <w:tc>
          <w:tcPr>
            <w:tcW w:w="1877"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720" w:type="dxa"/>
            <w:vAlign w:val="center"/>
          </w:tcPr>
          <w:p>
            <w:pPr>
              <w:spacing w:line="240" w:lineRule="exact"/>
              <w:jc w:val="center"/>
              <w:rPr>
                <w:rFonts w:ascii="宋体" w:hAnsi="宋体"/>
                <w:sz w:val="24"/>
              </w:rPr>
            </w:pPr>
            <w:r>
              <w:rPr>
                <w:rFonts w:hint="eastAsia" w:ascii="宋体" w:hAnsi="宋体"/>
                <w:sz w:val="24"/>
              </w:rPr>
              <w:t>3</w:t>
            </w:r>
          </w:p>
        </w:tc>
        <w:tc>
          <w:tcPr>
            <w:tcW w:w="2864" w:type="dxa"/>
            <w:vAlign w:val="center"/>
          </w:tcPr>
          <w:p>
            <w:pPr>
              <w:spacing w:line="240" w:lineRule="exact"/>
              <w:jc w:val="center"/>
              <w:rPr>
                <w:rFonts w:ascii="宋体" w:hAnsi="宋体"/>
                <w:sz w:val="24"/>
              </w:rPr>
            </w:pPr>
          </w:p>
        </w:tc>
        <w:tc>
          <w:tcPr>
            <w:tcW w:w="2104" w:type="dxa"/>
            <w:vAlign w:val="center"/>
          </w:tcPr>
          <w:p>
            <w:pPr>
              <w:spacing w:line="240" w:lineRule="exact"/>
              <w:jc w:val="center"/>
              <w:rPr>
                <w:rFonts w:ascii="宋体" w:hAnsi="宋体"/>
                <w:sz w:val="24"/>
              </w:rPr>
            </w:pPr>
          </w:p>
        </w:tc>
        <w:tc>
          <w:tcPr>
            <w:tcW w:w="1928" w:type="dxa"/>
            <w:vAlign w:val="center"/>
          </w:tcPr>
          <w:p>
            <w:pPr>
              <w:spacing w:line="240" w:lineRule="exact"/>
              <w:jc w:val="center"/>
              <w:rPr>
                <w:rFonts w:ascii="宋体" w:hAnsi="宋体"/>
                <w:sz w:val="24"/>
              </w:rPr>
            </w:pPr>
          </w:p>
        </w:tc>
        <w:tc>
          <w:tcPr>
            <w:tcW w:w="1877"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720" w:type="dxa"/>
            <w:vAlign w:val="center"/>
          </w:tcPr>
          <w:p>
            <w:pPr>
              <w:spacing w:line="240" w:lineRule="exact"/>
              <w:jc w:val="center"/>
              <w:rPr>
                <w:rFonts w:ascii="宋体" w:hAnsi="宋体"/>
                <w:sz w:val="24"/>
              </w:rPr>
            </w:pPr>
            <w:r>
              <w:rPr>
                <w:rFonts w:hint="eastAsia" w:ascii="宋体" w:hAnsi="宋体"/>
                <w:sz w:val="24"/>
              </w:rPr>
              <w:t>4</w:t>
            </w:r>
          </w:p>
        </w:tc>
        <w:tc>
          <w:tcPr>
            <w:tcW w:w="2864" w:type="dxa"/>
            <w:vAlign w:val="center"/>
          </w:tcPr>
          <w:p>
            <w:pPr>
              <w:spacing w:line="240" w:lineRule="exact"/>
              <w:jc w:val="center"/>
              <w:rPr>
                <w:rFonts w:ascii="宋体" w:hAnsi="宋体"/>
                <w:sz w:val="24"/>
              </w:rPr>
            </w:pPr>
          </w:p>
        </w:tc>
        <w:tc>
          <w:tcPr>
            <w:tcW w:w="2104" w:type="dxa"/>
            <w:vAlign w:val="center"/>
          </w:tcPr>
          <w:p>
            <w:pPr>
              <w:spacing w:line="240" w:lineRule="exact"/>
              <w:jc w:val="center"/>
              <w:rPr>
                <w:rFonts w:ascii="宋体" w:hAnsi="宋体"/>
                <w:sz w:val="24"/>
              </w:rPr>
            </w:pPr>
          </w:p>
        </w:tc>
        <w:tc>
          <w:tcPr>
            <w:tcW w:w="1928" w:type="dxa"/>
            <w:vAlign w:val="center"/>
          </w:tcPr>
          <w:p>
            <w:pPr>
              <w:spacing w:line="240" w:lineRule="exact"/>
              <w:jc w:val="center"/>
              <w:rPr>
                <w:rFonts w:ascii="宋体" w:hAnsi="宋体"/>
                <w:sz w:val="24"/>
              </w:rPr>
            </w:pPr>
          </w:p>
        </w:tc>
        <w:tc>
          <w:tcPr>
            <w:tcW w:w="1877"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720" w:type="dxa"/>
            <w:vAlign w:val="center"/>
          </w:tcPr>
          <w:p>
            <w:pPr>
              <w:spacing w:line="240" w:lineRule="exact"/>
              <w:jc w:val="center"/>
              <w:rPr>
                <w:rFonts w:ascii="宋体" w:hAnsi="宋体"/>
                <w:sz w:val="24"/>
              </w:rPr>
            </w:pPr>
            <w:r>
              <w:rPr>
                <w:rFonts w:hint="eastAsia" w:ascii="宋体" w:hAnsi="宋体"/>
                <w:sz w:val="24"/>
              </w:rPr>
              <w:t>5</w:t>
            </w:r>
          </w:p>
        </w:tc>
        <w:tc>
          <w:tcPr>
            <w:tcW w:w="2864" w:type="dxa"/>
            <w:vAlign w:val="center"/>
          </w:tcPr>
          <w:p>
            <w:pPr>
              <w:spacing w:line="240" w:lineRule="exact"/>
              <w:jc w:val="center"/>
              <w:rPr>
                <w:rFonts w:ascii="宋体" w:hAnsi="宋体"/>
                <w:sz w:val="24"/>
              </w:rPr>
            </w:pPr>
          </w:p>
        </w:tc>
        <w:tc>
          <w:tcPr>
            <w:tcW w:w="2104" w:type="dxa"/>
            <w:vAlign w:val="center"/>
          </w:tcPr>
          <w:p>
            <w:pPr>
              <w:spacing w:line="240" w:lineRule="exact"/>
              <w:jc w:val="center"/>
              <w:rPr>
                <w:rFonts w:ascii="宋体" w:hAnsi="宋体"/>
                <w:sz w:val="24"/>
              </w:rPr>
            </w:pPr>
          </w:p>
        </w:tc>
        <w:tc>
          <w:tcPr>
            <w:tcW w:w="1928" w:type="dxa"/>
            <w:vAlign w:val="center"/>
          </w:tcPr>
          <w:p>
            <w:pPr>
              <w:spacing w:line="240" w:lineRule="exact"/>
              <w:jc w:val="center"/>
              <w:rPr>
                <w:rFonts w:ascii="宋体" w:hAnsi="宋体"/>
                <w:sz w:val="24"/>
              </w:rPr>
            </w:pPr>
          </w:p>
        </w:tc>
        <w:tc>
          <w:tcPr>
            <w:tcW w:w="1877"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720" w:type="dxa"/>
            <w:vAlign w:val="center"/>
          </w:tcPr>
          <w:p>
            <w:pPr>
              <w:spacing w:line="240" w:lineRule="exact"/>
              <w:jc w:val="center"/>
              <w:rPr>
                <w:rFonts w:ascii="宋体" w:hAnsi="宋体"/>
                <w:sz w:val="24"/>
              </w:rPr>
            </w:pPr>
            <w:r>
              <w:rPr>
                <w:rFonts w:hint="eastAsia" w:ascii="宋体" w:hAnsi="宋体"/>
                <w:sz w:val="24"/>
              </w:rPr>
              <w:t>6</w:t>
            </w:r>
          </w:p>
        </w:tc>
        <w:tc>
          <w:tcPr>
            <w:tcW w:w="2864" w:type="dxa"/>
            <w:vAlign w:val="center"/>
          </w:tcPr>
          <w:p>
            <w:pPr>
              <w:spacing w:line="240" w:lineRule="exact"/>
              <w:jc w:val="center"/>
              <w:rPr>
                <w:rFonts w:ascii="宋体" w:hAnsi="宋体"/>
                <w:sz w:val="24"/>
              </w:rPr>
            </w:pPr>
          </w:p>
        </w:tc>
        <w:tc>
          <w:tcPr>
            <w:tcW w:w="2104" w:type="dxa"/>
            <w:vAlign w:val="center"/>
          </w:tcPr>
          <w:p>
            <w:pPr>
              <w:spacing w:line="240" w:lineRule="exact"/>
              <w:jc w:val="center"/>
              <w:rPr>
                <w:rFonts w:ascii="宋体" w:hAnsi="宋体"/>
                <w:sz w:val="24"/>
              </w:rPr>
            </w:pPr>
          </w:p>
        </w:tc>
        <w:tc>
          <w:tcPr>
            <w:tcW w:w="1928" w:type="dxa"/>
            <w:vAlign w:val="center"/>
          </w:tcPr>
          <w:p>
            <w:pPr>
              <w:spacing w:line="240" w:lineRule="exact"/>
              <w:jc w:val="center"/>
              <w:rPr>
                <w:rFonts w:ascii="宋体" w:hAnsi="宋体"/>
                <w:sz w:val="24"/>
              </w:rPr>
            </w:pPr>
          </w:p>
        </w:tc>
        <w:tc>
          <w:tcPr>
            <w:tcW w:w="1877"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720" w:type="dxa"/>
            <w:vAlign w:val="center"/>
          </w:tcPr>
          <w:p>
            <w:pPr>
              <w:spacing w:line="240" w:lineRule="exact"/>
              <w:jc w:val="center"/>
              <w:rPr>
                <w:rFonts w:ascii="宋体" w:hAnsi="宋体"/>
                <w:sz w:val="24"/>
              </w:rPr>
            </w:pPr>
            <w:r>
              <w:rPr>
                <w:rFonts w:hint="eastAsia" w:ascii="宋体" w:hAnsi="宋体"/>
                <w:sz w:val="24"/>
              </w:rPr>
              <w:t>7</w:t>
            </w:r>
          </w:p>
        </w:tc>
        <w:tc>
          <w:tcPr>
            <w:tcW w:w="2864" w:type="dxa"/>
            <w:vAlign w:val="center"/>
          </w:tcPr>
          <w:p>
            <w:pPr>
              <w:spacing w:line="240" w:lineRule="exact"/>
              <w:jc w:val="center"/>
              <w:rPr>
                <w:rFonts w:ascii="宋体" w:hAnsi="宋体"/>
                <w:sz w:val="24"/>
              </w:rPr>
            </w:pPr>
          </w:p>
        </w:tc>
        <w:tc>
          <w:tcPr>
            <w:tcW w:w="2104" w:type="dxa"/>
            <w:vAlign w:val="center"/>
          </w:tcPr>
          <w:p>
            <w:pPr>
              <w:spacing w:line="240" w:lineRule="exact"/>
              <w:jc w:val="center"/>
              <w:rPr>
                <w:rFonts w:ascii="宋体" w:hAnsi="宋体"/>
                <w:sz w:val="24"/>
              </w:rPr>
            </w:pPr>
          </w:p>
        </w:tc>
        <w:tc>
          <w:tcPr>
            <w:tcW w:w="1928" w:type="dxa"/>
            <w:vAlign w:val="center"/>
          </w:tcPr>
          <w:p>
            <w:pPr>
              <w:spacing w:line="240" w:lineRule="exact"/>
              <w:jc w:val="center"/>
              <w:rPr>
                <w:rFonts w:ascii="宋体" w:hAnsi="宋体"/>
                <w:sz w:val="24"/>
              </w:rPr>
            </w:pPr>
          </w:p>
        </w:tc>
        <w:tc>
          <w:tcPr>
            <w:tcW w:w="1877"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720" w:type="dxa"/>
            <w:vAlign w:val="center"/>
          </w:tcPr>
          <w:p>
            <w:pPr>
              <w:spacing w:line="240" w:lineRule="exact"/>
              <w:jc w:val="center"/>
              <w:rPr>
                <w:rFonts w:ascii="宋体" w:hAnsi="宋体"/>
                <w:sz w:val="24"/>
              </w:rPr>
            </w:pPr>
            <w:r>
              <w:rPr>
                <w:rFonts w:hint="eastAsia" w:ascii="宋体" w:hAnsi="宋体"/>
                <w:sz w:val="24"/>
              </w:rPr>
              <w:t>8</w:t>
            </w:r>
          </w:p>
        </w:tc>
        <w:tc>
          <w:tcPr>
            <w:tcW w:w="2864" w:type="dxa"/>
            <w:vAlign w:val="center"/>
          </w:tcPr>
          <w:p>
            <w:pPr>
              <w:spacing w:line="240" w:lineRule="exact"/>
              <w:jc w:val="center"/>
              <w:rPr>
                <w:rFonts w:ascii="宋体" w:hAnsi="宋体"/>
                <w:sz w:val="24"/>
              </w:rPr>
            </w:pPr>
          </w:p>
        </w:tc>
        <w:tc>
          <w:tcPr>
            <w:tcW w:w="2104" w:type="dxa"/>
            <w:vAlign w:val="center"/>
          </w:tcPr>
          <w:p>
            <w:pPr>
              <w:spacing w:line="240" w:lineRule="exact"/>
              <w:jc w:val="center"/>
              <w:rPr>
                <w:rFonts w:ascii="宋体" w:hAnsi="宋体"/>
                <w:sz w:val="24"/>
              </w:rPr>
            </w:pPr>
          </w:p>
        </w:tc>
        <w:tc>
          <w:tcPr>
            <w:tcW w:w="1928" w:type="dxa"/>
            <w:vAlign w:val="center"/>
          </w:tcPr>
          <w:p>
            <w:pPr>
              <w:spacing w:line="240" w:lineRule="exact"/>
              <w:jc w:val="center"/>
              <w:rPr>
                <w:rFonts w:ascii="宋体" w:hAnsi="宋体"/>
                <w:sz w:val="24"/>
              </w:rPr>
            </w:pPr>
          </w:p>
        </w:tc>
        <w:tc>
          <w:tcPr>
            <w:tcW w:w="1877"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720" w:type="dxa"/>
            <w:vAlign w:val="center"/>
          </w:tcPr>
          <w:p>
            <w:pPr>
              <w:spacing w:line="240" w:lineRule="exact"/>
              <w:jc w:val="center"/>
              <w:rPr>
                <w:rFonts w:ascii="宋体" w:hAnsi="宋体"/>
                <w:sz w:val="24"/>
              </w:rPr>
            </w:pPr>
            <w:r>
              <w:rPr>
                <w:rFonts w:hint="eastAsia" w:ascii="宋体" w:hAnsi="宋体"/>
                <w:sz w:val="24"/>
              </w:rPr>
              <w:t>9</w:t>
            </w:r>
          </w:p>
        </w:tc>
        <w:tc>
          <w:tcPr>
            <w:tcW w:w="2864" w:type="dxa"/>
            <w:vAlign w:val="center"/>
          </w:tcPr>
          <w:p>
            <w:pPr>
              <w:spacing w:line="240" w:lineRule="exact"/>
              <w:jc w:val="center"/>
              <w:rPr>
                <w:rFonts w:ascii="宋体" w:hAnsi="宋体"/>
                <w:sz w:val="24"/>
              </w:rPr>
            </w:pPr>
          </w:p>
        </w:tc>
        <w:tc>
          <w:tcPr>
            <w:tcW w:w="2104" w:type="dxa"/>
            <w:vAlign w:val="center"/>
          </w:tcPr>
          <w:p>
            <w:pPr>
              <w:spacing w:line="240" w:lineRule="exact"/>
              <w:jc w:val="center"/>
              <w:rPr>
                <w:rFonts w:ascii="宋体" w:hAnsi="宋体"/>
                <w:sz w:val="24"/>
              </w:rPr>
            </w:pPr>
          </w:p>
        </w:tc>
        <w:tc>
          <w:tcPr>
            <w:tcW w:w="1928" w:type="dxa"/>
            <w:vAlign w:val="center"/>
          </w:tcPr>
          <w:p>
            <w:pPr>
              <w:spacing w:line="240" w:lineRule="exact"/>
              <w:jc w:val="center"/>
              <w:rPr>
                <w:rFonts w:ascii="宋体" w:hAnsi="宋体"/>
                <w:sz w:val="24"/>
              </w:rPr>
            </w:pPr>
          </w:p>
        </w:tc>
        <w:tc>
          <w:tcPr>
            <w:tcW w:w="1877"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720" w:type="dxa"/>
            <w:vAlign w:val="center"/>
          </w:tcPr>
          <w:p>
            <w:pPr>
              <w:spacing w:line="240" w:lineRule="exact"/>
              <w:jc w:val="center"/>
              <w:rPr>
                <w:rFonts w:ascii="宋体" w:hAnsi="宋体"/>
                <w:sz w:val="24"/>
              </w:rPr>
            </w:pPr>
            <w:r>
              <w:rPr>
                <w:rFonts w:hint="eastAsia" w:ascii="宋体" w:hAnsi="宋体"/>
                <w:sz w:val="24"/>
              </w:rPr>
              <w:t>10</w:t>
            </w:r>
          </w:p>
        </w:tc>
        <w:tc>
          <w:tcPr>
            <w:tcW w:w="2864" w:type="dxa"/>
            <w:vAlign w:val="center"/>
          </w:tcPr>
          <w:p>
            <w:pPr>
              <w:spacing w:line="240" w:lineRule="exact"/>
              <w:jc w:val="center"/>
              <w:rPr>
                <w:rFonts w:ascii="宋体" w:hAnsi="宋体"/>
                <w:sz w:val="24"/>
              </w:rPr>
            </w:pPr>
          </w:p>
        </w:tc>
        <w:tc>
          <w:tcPr>
            <w:tcW w:w="2104" w:type="dxa"/>
            <w:vAlign w:val="center"/>
          </w:tcPr>
          <w:p>
            <w:pPr>
              <w:spacing w:line="240" w:lineRule="exact"/>
              <w:jc w:val="center"/>
              <w:rPr>
                <w:rFonts w:ascii="宋体" w:hAnsi="宋体"/>
                <w:sz w:val="24"/>
              </w:rPr>
            </w:pPr>
          </w:p>
        </w:tc>
        <w:tc>
          <w:tcPr>
            <w:tcW w:w="1928" w:type="dxa"/>
            <w:vAlign w:val="center"/>
          </w:tcPr>
          <w:p>
            <w:pPr>
              <w:spacing w:line="240" w:lineRule="exact"/>
              <w:jc w:val="center"/>
              <w:rPr>
                <w:rFonts w:ascii="宋体" w:hAnsi="宋体"/>
                <w:sz w:val="24"/>
              </w:rPr>
            </w:pPr>
          </w:p>
        </w:tc>
        <w:tc>
          <w:tcPr>
            <w:tcW w:w="1877"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720" w:type="dxa"/>
            <w:vAlign w:val="center"/>
          </w:tcPr>
          <w:p>
            <w:pPr>
              <w:spacing w:line="240" w:lineRule="exact"/>
              <w:jc w:val="center"/>
              <w:rPr>
                <w:rFonts w:ascii="宋体" w:hAnsi="宋体"/>
                <w:sz w:val="24"/>
              </w:rPr>
            </w:pPr>
            <w:r>
              <w:rPr>
                <w:rFonts w:hint="eastAsia" w:ascii="宋体" w:hAnsi="宋体"/>
                <w:sz w:val="24"/>
              </w:rPr>
              <w:t>11</w:t>
            </w:r>
          </w:p>
        </w:tc>
        <w:tc>
          <w:tcPr>
            <w:tcW w:w="2864" w:type="dxa"/>
            <w:vAlign w:val="center"/>
          </w:tcPr>
          <w:p>
            <w:pPr>
              <w:spacing w:line="240" w:lineRule="exact"/>
              <w:jc w:val="center"/>
              <w:rPr>
                <w:rFonts w:ascii="宋体" w:hAnsi="宋体"/>
                <w:sz w:val="24"/>
              </w:rPr>
            </w:pPr>
          </w:p>
        </w:tc>
        <w:tc>
          <w:tcPr>
            <w:tcW w:w="2104" w:type="dxa"/>
            <w:vAlign w:val="center"/>
          </w:tcPr>
          <w:p>
            <w:pPr>
              <w:spacing w:line="240" w:lineRule="exact"/>
              <w:jc w:val="center"/>
              <w:rPr>
                <w:rFonts w:ascii="宋体" w:hAnsi="宋体"/>
                <w:sz w:val="24"/>
              </w:rPr>
            </w:pPr>
          </w:p>
        </w:tc>
        <w:tc>
          <w:tcPr>
            <w:tcW w:w="1928" w:type="dxa"/>
            <w:vAlign w:val="center"/>
          </w:tcPr>
          <w:p>
            <w:pPr>
              <w:spacing w:line="240" w:lineRule="exact"/>
              <w:jc w:val="center"/>
              <w:rPr>
                <w:rFonts w:ascii="宋体" w:hAnsi="宋体"/>
                <w:sz w:val="24"/>
              </w:rPr>
            </w:pPr>
          </w:p>
        </w:tc>
        <w:tc>
          <w:tcPr>
            <w:tcW w:w="1877"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720" w:type="dxa"/>
            <w:vAlign w:val="center"/>
          </w:tcPr>
          <w:p>
            <w:pPr>
              <w:spacing w:line="240" w:lineRule="exact"/>
              <w:jc w:val="center"/>
              <w:rPr>
                <w:rFonts w:ascii="宋体" w:hAnsi="宋体"/>
                <w:sz w:val="24"/>
              </w:rPr>
            </w:pPr>
            <w:r>
              <w:rPr>
                <w:rFonts w:hint="eastAsia" w:ascii="宋体" w:hAnsi="宋体"/>
                <w:sz w:val="24"/>
              </w:rPr>
              <w:t>12</w:t>
            </w:r>
          </w:p>
        </w:tc>
        <w:tc>
          <w:tcPr>
            <w:tcW w:w="2864" w:type="dxa"/>
            <w:vAlign w:val="center"/>
          </w:tcPr>
          <w:p>
            <w:pPr>
              <w:spacing w:line="240" w:lineRule="exact"/>
              <w:jc w:val="center"/>
              <w:rPr>
                <w:rFonts w:ascii="宋体" w:hAnsi="宋体"/>
                <w:sz w:val="24"/>
              </w:rPr>
            </w:pPr>
          </w:p>
        </w:tc>
        <w:tc>
          <w:tcPr>
            <w:tcW w:w="2104" w:type="dxa"/>
            <w:vAlign w:val="center"/>
          </w:tcPr>
          <w:p>
            <w:pPr>
              <w:spacing w:line="240" w:lineRule="exact"/>
              <w:jc w:val="center"/>
              <w:rPr>
                <w:rFonts w:ascii="宋体" w:hAnsi="宋体"/>
                <w:sz w:val="24"/>
              </w:rPr>
            </w:pPr>
          </w:p>
        </w:tc>
        <w:tc>
          <w:tcPr>
            <w:tcW w:w="1928" w:type="dxa"/>
            <w:vAlign w:val="center"/>
          </w:tcPr>
          <w:p>
            <w:pPr>
              <w:spacing w:line="240" w:lineRule="exact"/>
              <w:jc w:val="center"/>
              <w:rPr>
                <w:rFonts w:ascii="宋体" w:hAnsi="宋体"/>
                <w:sz w:val="24"/>
              </w:rPr>
            </w:pPr>
          </w:p>
        </w:tc>
        <w:tc>
          <w:tcPr>
            <w:tcW w:w="1877"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1720" w:type="dxa"/>
            <w:vAlign w:val="center"/>
          </w:tcPr>
          <w:p>
            <w:pPr>
              <w:spacing w:line="240" w:lineRule="exact"/>
              <w:jc w:val="center"/>
              <w:rPr>
                <w:rFonts w:ascii="宋体" w:hAnsi="宋体"/>
                <w:sz w:val="24"/>
              </w:rPr>
            </w:pPr>
            <w:r>
              <w:rPr>
                <w:rFonts w:hint="eastAsia" w:ascii="宋体" w:hAnsi="宋体"/>
                <w:sz w:val="24"/>
              </w:rPr>
              <w:t>14</w:t>
            </w:r>
          </w:p>
        </w:tc>
        <w:tc>
          <w:tcPr>
            <w:tcW w:w="2864" w:type="dxa"/>
            <w:vAlign w:val="center"/>
          </w:tcPr>
          <w:p>
            <w:pPr>
              <w:spacing w:line="240" w:lineRule="exact"/>
              <w:jc w:val="center"/>
              <w:rPr>
                <w:rFonts w:ascii="宋体" w:hAnsi="宋体"/>
                <w:sz w:val="24"/>
              </w:rPr>
            </w:pPr>
          </w:p>
        </w:tc>
        <w:tc>
          <w:tcPr>
            <w:tcW w:w="2104" w:type="dxa"/>
            <w:vAlign w:val="center"/>
          </w:tcPr>
          <w:p>
            <w:pPr>
              <w:spacing w:line="240" w:lineRule="exact"/>
              <w:jc w:val="center"/>
              <w:rPr>
                <w:rFonts w:ascii="宋体" w:hAnsi="宋体"/>
                <w:sz w:val="24"/>
              </w:rPr>
            </w:pPr>
          </w:p>
        </w:tc>
        <w:tc>
          <w:tcPr>
            <w:tcW w:w="1928" w:type="dxa"/>
            <w:vAlign w:val="center"/>
          </w:tcPr>
          <w:p>
            <w:pPr>
              <w:spacing w:line="240" w:lineRule="exact"/>
              <w:jc w:val="center"/>
              <w:rPr>
                <w:rFonts w:ascii="宋体" w:hAnsi="宋体"/>
                <w:sz w:val="24"/>
              </w:rPr>
            </w:pPr>
          </w:p>
        </w:tc>
        <w:tc>
          <w:tcPr>
            <w:tcW w:w="1877"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c>
          <w:tcPr>
            <w:tcW w:w="1863" w:type="dxa"/>
            <w:vAlign w:val="center"/>
          </w:tcPr>
          <w:p>
            <w:pPr>
              <w:spacing w:line="240" w:lineRule="exact"/>
              <w:jc w:val="center"/>
              <w:rPr>
                <w:rFonts w:ascii="宋体" w:hAnsi="宋体"/>
                <w:sz w:val="24"/>
              </w:rPr>
            </w:pPr>
          </w:p>
        </w:tc>
      </w:tr>
    </w:tbl>
    <w:p>
      <w:pPr>
        <w:spacing w:line="500" w:lineRule="atLeast"/>
        <w:rPr>
          <w:rFonts w:ascii="宋体" w:hAnsi="宋体" w:cs="宋体"/>
          <w:sz w:val="24"/>
        </w:rPr>
        <w:sectPr>
          <w:pgSz w:w="16838" w:h="11906" w:orient="landscape"/>
          <w:pgMar w:top="1558" w:right="1134" w:bottom="993" w:left="1701" w:header="426" w:footer="583" w:gutter="0"/>
          <w:cols w:space="720" w:num="1"/>
          <w:docGrid w:linePitch="312" w:charSpace="0"/>
        </w:sectPr>
      </w:pPr>
    </w:p>
    <w:p>
      <w:pPr>
        <w:spacing w:line="360" w:lineRule="auto"/>
        <w:outlineLvl w:val="1"/>
        <w:rPr>
          <w:rFonts w:asciiTheme="minorEastAsia" w:hAnsiTheme="minorEastAsia"/>
          <w:sz w:val="24"/>
          <w:szCs w:val="24"/>
        </w:rPr>
      </w:pPr>
      <w:bookmarkStart w:id="99" w:name="_Toc403829223"/>
      <w:bookmarkStart w:id="100" w:name="_Toc11263"/>
      <w:r>
        <w:rPr>
          <w:rFonts w:hint="eastAsia" w:asciiTheme="minorEastAsia" w:hAnsiTheme="minorEastAsia"/>
          <w:sz w:val="24"/>
          <w:szCs w:val="24"/>
        </w:rPr>
        <w:t>附件12-7：《档案销毁目录》</w:t>
      </w:r>
      <w:bookmarkEnd w:id="99"/>
      <w:bookmarkEnd w:id="100"/>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基金会档案销毁目录</w:t>
      </w:r>
    </w:p>
    <w:tbl>
      <w:tblPr>
        <w:tblStyle w:val="9"/>
        <w:tblW w:w="14174" w:type="dxa"/>
        <w:tblInd w:w="0" w:type="dxa"/>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Layout w:type="fixed"/>
        <w:tblCellMar>
          <w:top w:w="0" w:type="dxa"/>
          <w:left w:w="108" w:type="dxa"/>
          <w:bottom w:w="0" w:type="dxa"/>
          <w:right w:w="108" w:type="dxa"/>
        </w:tblCellMar>
      </w:tblPr>
      <w:tblGrid>
        <w:gridCol w:w="2010"/>
        <w:gridCol w:w="3356"/>
        <w:gridCol w:w="2772"/>
        <w:gridCol w:w="1888"/>
        <w:gridCol w:w="1967"/>
        <w:gridCol w:w="2181"/>
      </w:tblGrid>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blHeader/>
        </w:trPr>
        <w:tc>
          <w:tcPr>
            <w:tcW w:w="2010"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序号</w:t>
            </w:r>
          </w:p>
        </w:tc>
        <w:tc>
          <w:tcPr>
            <w:tcW w:w="3356"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销毁文件盒/册名</w:t>
            </w:r>
          </w:p>
        </w:tc>
        <w:tc>
          <w:tcPr>
            <w:tcW w:w="2772"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销毁文件名</w:t>
            </w:r>
          </w:p>
        </w:tc>
        <w:tc>
          <w:tcPr>
            <w:tcW w:w="1888"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销毁日期</w:t>
            </w:r>
          </w:p>
        </w:tc>
        <w:tc>
          <w:tcPr>
            <w:tcW w:w="1967"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销毁人</w:t>
            </w:r>
          </w:p>
        </w:tc>
        <w:tc>
          <w:tcPr>
            <w:tcW w:w="2181" w:type="dxa"/>
            <w:tcBorders>
              <w:top w:val="single" w:color="000000" w:sz="18" w:space="0"/>
            </w:tcBorders>
            <w:vAlign w:val="center"/>
          </w:tcPr>
          <w:p>
            <w:pPr>
              <w:spacing w:line="560" w:lineRule="exact"/>
              <w:jc w:val="center"/>
              <w:rPr>
                <w:rFonts w:ascii="宋体" w:hAnsi="宋体"/>
                <w:b/>
                <w:sz w:val="24"/>
              </w:rPr>
            </w:pPr>
            <w:r>
              <w:rPr>
                <w:rFonts w:hint="eastAsia" w:ascii="宋体" w:hAnsi="宋体"/>
                <w:b/>
                <w:sz w:val="24"/>
              </w:rPr>
              <w:t>监销人</w:t>
            </w: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2010" w:type="dxa"/>
            <w:vAlign w:val="center"/>
          </w:tcPr>
          <w:p>
            <w:pPr>
              <w:spacing w:line="240" w:lineRule="exact"/>
              <w:jc w:val="center"/>
              <w:rPr>
                <w:rFonts w:ascii="宋体" w:hAnsi="宋体"/>
                <w:sz w:val="24"/>
              </w:rPr>
            </w:pPr>
            <w:r>
              <w:rPr>
                <w:rFonts w:hint="eastAsia" w:ascii="宋体" w:hAnsi="宋体"/>
                <w:sz w:val="24"/>
              </w:rPr>
              <w:t>1</w:t>
            </w:r>
          </w:p>
        </w:tc>
        <w:tc>
          <w:tcPr>
            <w:tcW w:w="3356" w:type="dxa"/>
            <w:vAlign w:val="center"/>
          </w:tcPr>
          <w:p>
            <w:pPr>
              <w:spacing w:line="240" w:lineRule="exact"/>
              <w:jc w:val="center"/>
              <w:rPr>
                <w:rFonts w:ascii="宋体" w:hAnsi="宋体"/>
                <w:sz w:val="24"/>
              </w:rPr>
            </w:pPr>
          </w:p>
        </w:tc>
        <w:tc>
          <w:tcPr>
            <w:tcW w:w="2772" w:type="dxa"/>
            <w:vAlign w:val="center"/>
          </w:tcPr>
          <w:p>
            <w:pPr>
              <w:spacing w:line="240" w:lineRule="exact"/>
              <w:jc w:val="center"/>
              <w:rPr>
                <w:rFonts w:ascii="宋体" w:hAnsi="宋体"/>
                <w:sz w:val="24"/>
              </w:rPr>
            </w:pPr>
          </w:p>
        </w:tc>
        <w:tc>
          <w:tcPr>
            <w:tcW w:w="1888" w:type="dxa"/>
            <w:vAlign w:val="center"/>
          </w:tcPr>
          <w:p>
            <w:pPr>
              <w:spacing w:line="240" w:lineRule="exact"/>
              <w:jc w:val="center"/>
              <w:rPr>
                <w:rFonts w:ascii="宋体" w:hAnsi="宋体"/>
                <w:sz w:val="24"/>
              </w:rPr>
            </w:pPr>
          </w:p>
        </w:tc>
        <w:tc>
          <w:tcPr>
            <w:tcW w:w="1967" w:type="dxa"/>
            <w:vAlign w:val="center"/>
          </w:tcPr>
          <w:p>
            <w:pPr>
              <w:spacing w:line="240" w:lineRule="exact"/>
              <w:jc w:val="center"/>
              <w:rPr>
                <w:rFonts w:ascii="宋体" w:hAnsi="宋体"/>
                <w:sz w:val="24"/>
              </w:rPr>
            </w:pPr>
          </w:p>
        </w:tc>
        <w:tc>
          <w:tcPr>
            <w:tcW w:w="218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2010" w:type="dxa"/>
            <w:vAlign w:val="center"/>
          </w:tcPr>
          <w:p>
            <w:pPr>
              <w:spacing w:line="240" w:lineRule="exact"/>
              <w:jc w:val="center"/>
              <w:rPr>
                <w:rFonts w:ascii="宋体" w:hAnsi="宋体"/>
                <w:sz w:val="24"/>
              </w:rPr>
            </w:pPr>
            <w:r>
              <w:rPr>
                <w:rFonts w:hint="eastAsia" w:ascii="宋体" w:hAnsi="宋体"/>
                <w:sz w:val="24"/>
              </w:rPr>
              <w:t>2</w:t>
            </w:r>
          </w:p>
        </w:tc>
        <w:tc>
          <w:tcPr>
            <w:tcW w:w="3356" w:type="dxa"/>
            <w:vAlign w:val="center"/>
          </w:tcPr>
          <w:p>
            <w:pPr>
              <w:spacing w:line="240" w:lineRule="exact"/>
              <w:jc w:val="center"/>
              <w:rPr>
                <w:rFonts w:ascii="宋体" w:hAnsi="宋体"/>
                <w:sz w:val="24"/>
              </w:rPr>
            </w:pPr>
          </w:p>
        </w:tc>
        <w:tc>
          <w:tcPr>
            <w:tcW w:w="2772" w:type="dxa"/>
            <w:vAlign w:val="center"/>
          </w:tcPr>
          <w:p>
            <w:pPr>
              <w:spacing w:line="240" w:lineRule="exact"/>
              <w:jc w:val="center"/>
              <w:rPr>
                <w:rFonts w:ascii="宋体" w:hAnsi="宋体"/>
                <w:sz w:val="24"/>
              </w:rPr>
            </w:pPr>
          </w:p>
        </w:tc>
        <w:tc>
          <w:tcPr>
            <w:tcW w:w="1888" w:type="dxa"/>
            <w:vAlign w:val="center"/>
          </w:tcPr>
          <w:p>
            <w:pPr>
              <w:spacing w:line="240" w:lineRule="exact"/>
              <w:jc w:val="center"/>
              <w:rPr>
                <w:rFonts w:ascii="宋体" w:hAnsi="宋体"/>
                <w:sz w:val="24"/>
              </w:rPr>
            </w:pPr>
          </w:p>
        </w:tc>
        <w:tc>
          <w:tcPr>
            <w:tcW w:w="1967" w:type="dxa"/>
            <w:vAlign w:val="center"/>
          </w:tcPr>
          <w:p>
            <w:pPr>
              <w:spacing w:line="240" w:lineRule="exact"/>
              <w:jc w:val="center"/>
              <w:rPr>
                <w:rFonts w:ascii="宋体" w:hAnsi="宋体"/>
                <w:sz w:val="24"/>
              </w:rPr>
            </w:pPr>
          </w:p>
        </w:tc>
        <w:tc>
          <w:tcPr>
            <w:tcW w:w="218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2010" w:type="dxa"/>
            <w:vAlign w:val="center"/>
          </w:tcPr>
          <w:p>
            <w:pPr>
              <w:spacing w:line="240" w:lineRule="exact"/>
              <w:jc w:val="center"/>
              <w:rPr>
                <w:rFonts w:ascii="宋体" w:hAnsi="宋体"/>
                <w:sz w:val="24"/>
              </w:rPr>
            </w:pPr>
            <w:r>
              <w:rPr>
                <w:rFonts w:hint="eastAsia" w:ascii="宋体" w:hAnsi="宋体"/>
                <w:sz w:val="24"/>
              </w:rPr>
              <w:t>3</w:t>
            </w:r>
          </w:p>
        </w:tc>
        <w:tc>
          <w:tcPr>
            <w:tcW w:w="3356" w:type="dxa"/>
            <w:vAlign w:val="center"/>
          </w:tcPr>
          <w:p>
            <w:pPr>
              <w:spacing w:line="240" w:lineRule="exact"/>
              <w:jc w:val="center"/>
              <w:rPr>
                <w:rFonts w:ascii="宋体" w:hAnsi="宋体"/>
                <w:sz w:val="24"/>
              </w:rPr>
            </w:pPr>
          </w:p>
        </w:tc>
        <w:tc>
          <w:tcPr>
            <w:tcW w:w="2772" w:type="dxa"/>
            <w:vAlign w:val="center"/>
          </w:tcPr>
          <w:p>
            <w:pPr>
              <w:spacing w:line="240" w:lineRule="exact"/>
              <w:jc w:val="center"/>
              <w:rPr>
                <w:rFonts w:ascii="宋体" w:hAnsi="宋体"/>
                <w:sz w:val="24"/>
              </w:rPr>
            </w:pPr>
          </w:p>
        </w:tc>
        <w:tc>
          <w:tcPr>
            <w:tcW w:w="1888" w:type="dxa"/>
            <w:vAlign w:val="center"/>
          </w:tcPr>
          <w:p>
            <w:pPr>
              <w:spacing w:line="240" w:lineRule="exact"/>
              <w:jc w:val="center"/>
              <w:rPr>
                <w:rFonts w:ascii="宋体" w:hAnsi="宋体"/>
                <w:sz w:val="24"/>
              </w:rPr>
            </w:pPr>
          </w:p>
        </w:tc>
        <w:tc>
          <w:tcPr>
            <w:tcW w:w="1967" w:type="dxa"/>
            <w:vAlign w:val="center"/>
          </w:tcPr>
          <w:p>
            <w:pPr>
              <w:spacing w:line="240" w:lineRule="exact"/>
              <w:jc w:val="center"/>
              <w:rPr>
                <w:rFonts w:ascii="宋体" w:hAnsi="宋体"/>
                <w:sz w:val="24"/>
              </w:rPr>
            </w:pPr>
          </w:p>
        </w:tc>
        <w:tc>
          <w:tcPr>
            <w:tcW w:w="218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2010" w:type="dxa"/>
            <w:vAlign w:val="center"/>
          </w:tcPr>
          <w:p>
            <w:pPr>
              <w:spacing w:line="240" w:lineRule="exact"/>
              <w:jc w:val="center"/>
              <w:rPr>
                <w:rFonts w:ascii="宋体" w:hAnsi="宋体"/>
                <w:sz w:val="24"/>
              </w:rPr>
            </w:pPr>
            <w:r>
              <w:rPr>
                <w:rFonts w:hint="eastAsia" w:ascii="宋体" w:hAnsi="宋体"/>
                <w:sz w:val="24"/>
              </w:rPr>
              <w:t>4</w:t>
            </w:r>
          </w:p>
        </w:tc>
        <w:tc>
          <w:tcPr>
            <w:tcW w:w="3356" w:type="dxa"/>
            <w:vAlign w:val="center"/>
          </w:tcPr>
          <w:p>
            <w:pPr>
              <w:spacing w:line="240" w:lineRule="exact"/>
              <w:jc w:val="center"/>
              <w:rPr>
                <w:rFonts w:ascii="宋体" w:hAnsi="宋体"/>
                <w:sz w:val="24"/>
              </w:rPr>
            </w:pPr>
          </w:p>
        </w:tc>
        <w:tc>
          <w:tcPr>
            <w:tcW w:w="2772" w:type="dxa"/>
            <w:vAlign w:val="center"/>
          </w:tcPr>
          <w:p>
            <w:pPr>
              <w:spacing w:line="240" w:lineRule="exact"/>
              <w:jc w:val="center"/>
              <w:rPr>
                <w:rFonts w:ascii="宋体" w:hAnsi="宋体"/>
                <w:sz w:val="24"/>
              </w:rPr>
            </w:pPr>
          </w:p>
        </w:tc>
        <w:tc>
          <w:tcPr>
            <w:tcW w:w="1888" w:type="dxa"/>
            <w:vAlign w:val="center"/>
          </w:tcPr>
          <w:p>
            <w:pPr>
              <w:spacing w:line="240" w:lineRule="exact"/>
              <w:jc w:val="center"/>
              <w:rPr>
                <w:rFonts w:ascii="宋体" w:hAnsi="宋体"/>
                <w:sz w:val="24"/>
              </w:rPr>
            </w:pPr>
          </w:p>
        </w:tc>
        <w:tc>
          <w:tcPr>
            <w:tcW w:w="1967" w:type="dxa"/>
            <w:vAlign w:val="center"/>
          </w:tcPr>
          <w:p>
            <w:pPr>
              <w:spacing w:line="240" w:lineRule="exact"/>
              <w:jc w:val="center"/>
              <w:rPr>
                <w:rFonts w:ascii="宋体" w:hAnsi="宋体"/>
                <w:sz w:val="24"/>
              </w:rPr>
            </w:pPr>
          </w:p>
        </w:tc>
        <w:tc>
          <w:tcPr>
            <w:tcW w:w="218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2010" w:type="dxa"/>
            <w:vAlign w:val="center"/>
          </w:tcPr>
          <w:p>
            <w:pPr>
              <w:spacing w:line="240" w:lineRule="exact"/>
              <w:jc w:val="center"/>
              <w:rPr>
                <w:rFonts w:ascii="宋体" w:hAnsi="宋体"/>
                <w:sz w:val="24"/>
              </w:rPr>
            </w:pPr>
            <w:r>
              <w:rPr>
                <w:rFonts w:hint="eastAsia" w:ascii="宋体" w:hAnsi="宋体"/>
                <w:sz w:val="24"/>
              </w:rPr>
              <w:t>5</w:t>
            </w:r>
          </w:p>
        </w:tc>
        <w:tc>
          <w:tcPr>
            <w:tcW w:w="3356" w:type="dxa"/>
            <w:vAlign w:val="center"/>
          </w:tcPr>
          <w:p>
            <w:pPr>
              <w:spacing w:line="240" w:lineRule="exact"/>
              <w:jc w:val="center"/>
              <w:rPr>
                <w:rFonts w:ascii="宋体" w:hAnsi="宋体"/>
                <w:sz w:val="24"/>
              </w:rPr>
            </w:pPr>
          </w:p>
        </w:tc>
        <w:tc>
          <w:tcPr>
            <w:tcW w:w="2772" w:type="dxa"/>
            <w:vAlign w:val="center"/>
          </w:tcPr>
          <w:p>
            <w:pPr>
              <w:spacing w:line="240" w:lineRule="exact"/>
              <w:jc w:val="center"/>
              <w:rPr>
                <w:rFonts w:ascii="宋体" w:hAnsi="宋体"/>
                <w:sz w:val="24"/>
              </w:rPr>
            </w:pPr>
          </w:p>
        </w:tc>
        <w:tc>
          <w:tcPr>
            <w:tcW w:w="1888" w:type="dxa"/>
            <w:vAlign w:val="center"/>
          </w:tcPr>
          <w:p>
            <w:pPr>
              <w:spacing w:line="240" w:lineRule="exact"/>
              <w:jc w:val="center"/>
              <w:rPr>
                <w:rFonts w:ascii="宋体" w:hAnsi="宋体"/>
                <w:sz w:val="24"/>
              </w:rPr>
            </w:pPr>
          </w:p>
        </w:tc>
        <w:tc>
          <w:tcPr>
            <w:tcW w:w="1967" w:type="dxa"/>
            <w:vAlign w:val="center"/>
          </w:tcPr>
          <w:p>
            <w:pPr>
              <w:spacing w:line="240" w:lineRule="exact"/>
              <w:jc w:val="center"/>
              <w:rPr>
                <w:rFonts w:ascii="宋体" w:hAnsi="宋体"/>
                <w:sz w:val="24"/>
              </w:rPr>
            </w:pPr>
          </w:p>
        </w:tc>
        <w:tc>
          <w:tcPr>
            <w:tcW w:w="218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2010" w:type="dxa"/>
            <w:vAlign w:val="center"/>
          </w:tcPr>
          <w:p>
            <w:pPr>
              <w:spacing w:line="240" w:lineRule="exact"/>
              <w:jc w:val="center"/>
              <w:rPr>
                <w:rFonts w:ascii="宋体" w:hAnsi="宋体"/>
                <w:sz w:val="24"/>
              </w:rPr>
            </w:pPr>
            <w:r>
              <w:rPr>
                <w:rFonts w:hint="eastAsia" w:ascii="宋体" w:hAnsi="宋体"/>
                <w:sz w:val="24"/>
              </w:rPr>
              <w:t>6</w:t>
            </w:r>
          </w:p>
        </w:tc>
        <w:tc>
          <w:tcPr>
            <w:tcW w:w="3356" w:type="dxa"/>
            <w:vAlign w:val="center"/>
          </w:tcPr>
          <w:p>
            <w:pPr>
              <w:spacing w:line="240" w:lineRule="exact"/>
              <w:jc w:val="center"/>
              <w:rPr>
                <w:rFonts w:ascii="宋体" w:hAnsi="宋体"/>
                <w:sz w:val="24"/>
              </w:rPr>
            </w:pPr>
          </w:p>
        </w:tc>
        <w:tc>
          <w:tcPr>
            <w:tcW w:w="2772" w:type="dxa"/>
            <w:vAlign w:val="center"/>
          </w:tcPr>
          <w:p>
            <w:pPr>
              <w:spacing w:line="240" w:lineRule="exact"/>
              <w:jc w:val="center"/>
              <w:rPr>
                <w:rFonts w:ascii="宋体" w:hAnsi="宋体"/>
                <w:sz w:val="24"/>
              </w:rPr>
            </w:pPr>
          </w:p>
        </w:tc>
        <w:tc>
          <w:tcPr>
            <w:tcW w:w="1888" w:type="dxa"/>
            <w:vAlign w:val="center"/>
          </w:tcPr>
          <w:p>
            <w:pPr>
              <w:spacing w:line="240" w:lineRule="exact"/>
              <w:jc w:val="center"/>
              <w:rPr>
                <w:rFonts w:ascii="宋体" w:hAnsi="宋体"/>
                <w:sz w:val="24"/>
              </w:rPr>
            </w:pPr>
          </w:p>
        </w:tc>
        <w:tc>
          <w:tcPr>
            <w:tcW w:w="1967" w:type="dxa"/>
            <w:vAlign w:val="center"/>
          </w:tcPr>
          <w:p>
            <w:pPr>
              <w:spacing w:line="240" w:lineRule="exact"/>
              <w:jc w:val="center"/>
              <w:rPr>
                <w:rFonts w:ascii="宋体" w:hAnsi="宋体"/>
                <w:sz w:val="24"/>
              </w:rPr>
            </w:pPr>
          </w:p>
        </w:tc>
        <w:tc>
          <w:tcPr>
            <w:tcW w:w="218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2010" w:type="dxa"/>
            <w:vAlign w:val="center"/>
          </w:tcPr>
          <w:p>
            <w:pPr>
              <w:spacing w:line="240" w:lineRule="exact"/>
              <w:jc w:val="center"/>
              <w:rPr>
                <w:rFonts w:ascii="宋体" w:hAnsi="宋体"/>
                <w:sz w:val="24"/>
              </w:rPr>
            </w:pPr>
            <w:r>
              <w:rPr>
                <w:rFonts w:hint="eastAsia" w:ascii="宋体" w:hAnsi="宋体"/>
                <w:sz w:val="24"/>
              </w:rPr>
              <w:t>7</w:t>
            </w:r>
          </w:p>
        </w:tc>
        <w:tc>
          <w:tcPr>
            <w:tcW w:w="3356" w:type="dxa"/>
            <w:vAlign w:val="center"/>
          </w:tcPr>
          <w:p>
            <w:pPr>
              <w:spacing w:line="240" w:lineRule="exact"/>
              <w:jc w:val="center"/>
              <w:rPr>
                <w:rFonts w:ascii="宋体" w:hAnsi="宋体"/>
                <w:sz w:val="24"/>
              </w:rPr>
            </w:pPr>
          </w:p>
        </w:tc>
        <w:tc>
          <w:tcPr>
            <w:tcW w:w="2772" w:type="dxa"/>
            <w:vAlign w:val="center"/>
          </w:tcPr>
          <w:p>
            <w:pPr>
              <w:spacing w:line="240" w:lineRule="exact"/>
              <w:jc w:val="center"/>
              <w:rPr>
                <w:rFonts w:ascii="宋体" w:hAnsi="宋体"/>
                <w:sz w:val="24"/>
              </w:rPr>
            </w:pPr>
          </w:p>
        </w:tc>
        <w:tc>
          <w:tcPr>
            <w:tcW w:w="1888" w:type="dxa"/>
            <w:vAlign w:val="center"/>
          </w:tcPr>
          <w:p>
            <w:pPr>
              <w:spacing w:line="240" w:lineRule="exact"/>
              <w:jc w:val="center"/>
              <w:rPr>
                <w:rFonts w:ascii="宋体" w:hAnsi="宋体"/>
                <w:sz w:val="24"/>
              </w:rPr>
            </w:pPr>
          </w:p>
        </w:tc>
        <w:tc>
          <w:tcPr>
            <w:tcW w:w="1967" w:type="dxa"/>
            <w:vAlign w:val="center"/>
          </w:tcPr>
          <w:p>
            <w:pPr>
              <w:spacing w:line="240" w:lineRule="exact"/>
              <w:jc w:val="center"/>
              <w:rPr>
                <w:rFonts w:ascii="宋体" w:hAnsi="宋体"/>
                <w:sz w:val="24"/>
              </w:rPr>
            </w:pPr>
          </w:p>
        </w:tc>
        <w:tc>
          <w:tcPr>
            <w:tcW w:w="218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2010" w:type="dxa"/>
            <w:vAlign w:val="center"/>
          </w:tcPr>
          <w:p>
            <w:pPr>
              <w:spacing w:line="240" w:lineRule="exact"/>
              <w:jc w:val="center"/>
              <w:rPr>
                <w:rFonts w:ascii="宋体" w:hAnsi="宋体"/>
                <w:sz w:val="24"/>
              </w:rPr>
            </w:pPr>
            <w:r>
              <w:rPr>
                <w:rFonts w:hint="eastAsia" w:ascii="宋体" w:hAnsi="宋体"/>
                <w:sz w:val="24"/>
              </w:rPr>
              <w:t>8</w:t>
            </w:r>
          </w:p>
        </w:tc>
        <w:tc>
          <w:tcPr>
            <w:tcW w:w="3356" w:type="dxa"/>
            <w:vAlign w:val="center"/>
          </w:tcPr>
          <w:p>
            <w:pPr>
              <w:spacing w:line="240" w:lineRule="exact"/>
              <w:jc w:val="center"/>
              <w:rPr>
                <w:rFonts w:ascii="宋体" w:hAnsi="宋体"/>
                <w:sz w:val="24"/>
              </w:rPr>
            </w:pPr>
          </w:p>
        </w:tc>
        <w:tc>
          <w:tcPr>
            <w:tcW w:w="2772" w:type="dxa"/>
            <w:vAlign w:val="center"/>
          </w:tcPr>
          <w:p>
            <w:pPr>
              <w:spacing w:line="240" w:lineRule="exact"/>
              <w:jc w:val="center"/>
              <w:rPr>
                <w:rFonts w:ascii="宋体" w:hAnsi="宋体"/>
                <w:sz w:val="24"/>
              </w:rPr>
            </w:pPr>
          </w:p>
        </w:tc>
        <w:tc>
          <w:tcPr>
            <w:tcW w:w="1888" w:type="dxa"/>
            <w:vAlign w:val="center"/>
          </w:tcPr>
          <w:p>
            <w:pPr>
              <w:spacing w:line="240" w:lineRule="exact"/>
              <w:jc w:val="center"/>
              <w:rPr>
                <w:rFonts w:ascii="宋体" w:hAnsi="宋体"/>
                <w:sz w:val="24"/>
              </w:rPr>
            </w:pPr>
          </w:p>
        </w:tc>
        <w:tc>
          <w:tcPr>
            <w:tcW w:w="1967" w:type="dxa"/>
            <w:vAlign w:val="center"/>
          </w:tcPr>
          <w:p>
            <w:pPr>
              <w:spacing w:line="240" w:lineRule="exact"/>
              <w:jc w:val="center"/>
              <w:rPr>
                <w:rFonts w:ascii="宋体" w:hAnsi="宋体"/>
                <w:sz w:val="24"/>
              </w:rPr>
            </w:pPr>
          </w:p>
        </w:tc>
        <w:tc>
          <w:tcPr>
            <w:tcW w:w="218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2010" w:type="dxa"/>
            <w:vAlign w:val="center"/>
          </w:tcPr>
          <w:p>
            <w:pPr>
              <w:spacing w:line="240" w:lineRule="exact"/>
              <w:jc w:val="center"/>
              <w:rPr>
                <w:rFonts w:ascii="宋体" w:hAnsi="宋体"/>
                <w:sz w:val="24"/>
              </w:rPr>
            </w:pPr>
            <w:r>
              <w:rPr>
                <w:rFonts w:hint="eastAsia" w:ascii="宋体" w:hAnsi="宋体"/>
                <w:sz w:val="24"/>
              </w:rPr>
              <w:t>9</w:t>
            </w:r>
          </w:p>
        </w:tc>
        <w:tc>
          <w:tcPr>
            <w:tcW w:w="3356" w:type="dxa"/>
            <w:vAlign w:val="center"/>
          </w:tcPr>
          <w:p>
            <w:pPr>
              <w:spacing w:line="240" w:lineRule="exact"/>
              <w:jc w:val="center"/>
              <w:rPr>
                <w:rFonts w:ascii="宋体" w:hAnsi="宋体"/>
                <w:sz w:val="24"/>
              </w:rPr>
            </w:pPr>
          </w:p>
        </w:tc>
        <w:tc>
          <w:tcPr>
            <w:tcW w:w="2772" w:type="dxa"/>
            <w:vAlign w:val="center"/>
          </w:tcPr>
          <w:p>
            <w:pPr>
              <w:spacing w:line="240" w:lineRule="exact"/>
              <w:jc w:val="center"/>
              <w:rPr>
                <w:rFonts w:ascii="宋体" w:hAnsi="宋体"/>
                <w:sz w:val="24"/>
              </w:rPr>
            </w:pPr>
          </w:p>
        </w:tc>
        <w:tc>
          <w:tcPr>
            <w:tcW w:w="1888" w:type="dxa"/>
            <w:vAlign w:val="center"/>
          </w:tcPr>
          <w:p>
            <w:pPr>
              <w:spacing w:line="240" w:lineRule="exact"/>
              <w:jc w:val="center"/>
              <w:rPr>
                <w:rFonts w:ascii="宋体" w:hAnsi="宋体"/>
                <w:sz w:val="24"/>
              </w:rPr>
            </w:pPr>
          </w:p>
        </w:tc>
        <w:tc>
          <w:tcPr>
            <w:tcW w:w="1967" w:type="dxa"/>
            <w:vAlign w:val="center"/>
          </w:tcPr>
          <w:p>
            <w:pPr>
              <w:spacing w:line="240" w:lineRule="exact"/>
              <w:jc w:val="center"/>
              <w:rPr>
                <w:rFonts w:ascii="宋体" w:hAnsi="宋体"/>
                <w:sz w:val="24"/>
              </w:rPr>
            </w:pPr>
          </w:p>
        </w:tc>
        <w:tc>
          <w:tcPr>
            <w:tcW w:w="2181" w:type="dxa"/>
            <w:vAlign w:val="center"/>
          </w:tcPr>
          <w:p>
            <w:pPr>
              <w:spacing w:line="240" w:lineRule="exact"/>
              <w:jc w:val="center"/>
              <w:rPr>
                <w:rFonts w:ascii="宋体" w:hAnsi="宋体"/>
                <w:sz w:val="24"/>
              </w:rPr>
            </w:pPr>
          </w:p>
        </w:tc>
      </w:tr>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2010" w:type="dxa"/>
            <w:vAlign w:val="center"/>
          </w:tcPr>
          <w:p>
            <w:pPr>
              <w:spacing w:line="240" w:lineRule="exact"/>
              <w:jc w:val="center"/>
              <w:rPr>
                <w:rFonts w:ascii="宋体" w:hAnsi="宋体"/>
                <w:sz w:val="24"/>
              </w:rPr>
            </w:pPr>
            <w:r>
              <w:rPr>
                <w:rFonts w:hint="eastAsia" w:ascii="宋体" w:hAnsi="宋体"/>
                <w:sz w:val="24"/>
              </w:rPr>
              <w:t>10</w:t>
            </w:r>
          </w:p>
        </w:tc>
        <w:tc>
          <w:tcPr>
            <w:tcW w:w="3356" w:type="dxa"/>
            <w:vAlign w:val="center"/>
          </w:tcPr>
          <w:p>
            <w:pPr>
              <w:spacing w:line="240" w:lineRule="exact"/>
              <w:jc w:val="center"/>
              <w:rPr>
                <w:rFonts w:ascii="宋体" w:hAnsi="宋体"/>
                <w:sz w:val="24"/>
              </w:rPr>
            </w:pPr>
          </w:p>
        </w:tc>
        <w:tc>
          <w:tcPr>
            <w:tcW w:w="2772" w:type="dxa"/>
            <w:vAlign w:val="center"/>
          </w:tcPr>
          <w:p>
            <w:pPr>
              <w:spacing w:line="240" w:lineRule="exact"/>
              <w:jc w:val="center"/>
              <w:rPr>
                <w:rFonts w:ascii="宋体" w:hAnsi="宋体"/>
                <w:sz w:val="24"/>
              </w:rPr>
            </w:pPr>
          </w:p>
        </w:tc>
        <w:tc>
          <w:tcPr>
            <w:tcW w:w="1888" w:type="dxa"/>
            <w:vAlign w:val="center"/>
          </w:tcPr>
          <w:p>
            <w:pPr>
              <w:spacing w:line="240" w:lineRule="exact"/>
              <w:jc w:val="center"/>
              <w:rPr>
                <w:rFonts w:ascii="宋体" w:hAnsi="宋体"/>
                <w:sz w:val="24"/>
              </w:rPr>
            </w:pPr>
          </w:p>
        </w:tc>
        <w:tc>
          <w:tcPr>
            <w:tcW w:w="1967" w:type="dxa"/>
            <w:vAlign w:val="center"/>
          </w:tcPr>
          <w:p>
            <w:pPr>
              <w:spacing w:line="240" w:lineRule="exact"/>
              <w:jc w:val="center"/>
              <w:rPr>
                <w:rFonts w:ascii="宋体" w:hAnsi="宋体"/>
                <w:sz w:val="24"/>
              </w:rPr>
            </w:pPr>
          </w:p>
        </w:tc>
        <w:tc>
          <w:tcPr>
            <w:tcW w:w="2181" w:type="dxa"/>
            <w:vAlign w:val="center"/>
          </w:tcPr>
          <w:p>
            <w:pPr>
              <w:spacing w:line="240" w:lineRule="exact"/>
              <w:jc w:val="center"/>
              <w:rPr>
                <w:rFonts w:ascii="宋体" w:hAnsi="宋体"/>
                <w:sz w:val="24"/>
              </w:rPr>
            </w:pPr>
          </w:p>
        </w:tc>
      </w:tr>
    </w:tbl>
    <w:p>
      <w:pPr>
        <w:spacing w:line="360" w:lineRule="auto"/>
        <w:rPr>
          <w:szCs w:val="21"/>
        </w:rPr>
      </w:pPr>
      <w:r>
        <w:rPr>
          <w:szCs w:val="21"/>
        </w:rPr>
        <w:br w:type="page"/>
      </w:r>
    </w:p>
    <w:p>
      <w:pPr>
        <w:spacing w:line="360" w:lineRule="auto"/>
        <w:rPr>
          <w:szCs w:val="21"/>
        </w:rPr>
        <w:sectPr>
          <w:pgSz w:w="16838" w:h="11906" w:orient="landscape"/>
          <w:pgMar w:top="1800" w:right="1440" w:bottom="1800" w:left="1440" w:header="851" w:footer="992" w:gutter="0"/>
          <w:cols w:space="425" w:num="1"/>
          <w:docGrid w:type="lines" w:linePitch="312" w:charSpace="0"/>
        </w:sectPr>
      </w:pPr>
    </w:p>
    <w:tbl>
      <w:tblPr>
        <w:tblStyle w:val="9"/>
        <w:tblW w:w="8540" w:type="dxa"/>
        <w:jc w:val="center"/>
        <w:tblLayout w:type="fixed"/>
        <w:tblCellMar>
          <w:top w:w="0" w:type="dxa"/>
          <w:left w:w="0" w:type="dxa"/>
          <w:bottom w:w="0" w:type="dxa"/>
          <w:right w:w="0" w:type="dxa"/>
        </w:tblCellMar>
      </w:tblPr>
      <w:tblGrid>
        <w:gridCol w:w="593"/>
        <w:gridCol w:w="2536"/>
        <w:gridCol w:w="1176"/>
        <w:gridCol w:w="4235"/>
      </w:tblGrid>
      <w:tr>
        <w:tblPrEx>
          <w:tblCellMar>
            <w:top w:w="0" w:type="dxa"/>
            <w:left w:w="0" w:type="dxa"/>
            <w:bottom w:w="0" w:type="dxa"/>
            <w:right w:w="0" w:type="dxa"/>
          </w:tblCellMar>
        </w:tblPrEx>
        <w:trPr>
          <w:trHeight w:val="690" w:hRule="atLeast"/>
          <w:jc w:val="center"/>
        </w:trPr>
        <w:tc>
          <w:tcPr>
            <w:tcW w:w="8540" w:type="dxa"/>
            <w:gridSpan w:val="4"/>
            <w:tcBorders>
              <w:top w:val="nil"/>
              <w:left w:val="nil"/>
              <w:bottom w:val="single" w:color="auto" w:sz="4" w:space="0"/>
              <w:right w:val="nil"/>
            </w:tcBorders>
            <w:vAlign w:val="center"/>
          </w:tcPr>
          <w:p>
            <w:pPr>
              <w:spacing w:line="360" w:lineRule="auto"/>
              <w:outlineLvl w:val="1"/>
              <w:rPr>
                <w:rFonts w:asciiTheme="minorEastAsia" w:hAnsiTheme="minorEastAsia"/>
                <w:sz w:val="24"/>
                <w:szCs w:val="24"/>
              </w:rPr>
            </w:pPr>
            <w:bookmarkStart w:id="101" w:name="_Toc403829224"/>
            <w:bookmarkStart w:id="102" w:name="_Toc1415"/>
            <w:r>
              <w:rPr>
                <w:rFonts w:hint="eastAsia" w:asciiTheme="minorEastAsia" w:hAnsiTheme="minorEastAsia"/>
                <w:sz w:val="24"/>
                <w:szCs w:val="24"/>
              </w:rPr>
              <w:t>附件15-1：《会计档案保管期限表》</w:t>
            </w:r>
            <w:bookmarkEnd w:id="101"/>
            <w:bookmarkEnd w:id="102"/>
          </w:p>
          <w:p>
            <w:pPr>
              <w:spacing w:line="360" w:lineRule="auto"/>
              <w:jc w:val="center"/>
              <w:rPr>
                <w:rFonts w:ascii="微软雅黑" w:hAnsi="微软雅黑" w:eastAsia="微软雅黑"/>
                <w:kern w:val="0"/>
                <w:sz w:val="30"/>
                <w:szCs w:val="30"/>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基金会会计档案保管期限表</w:t>
            </w:r>
          </w:p>
        </w:tc>
      </w:tr>
      <w:tr>
        <w:tblPrEx>
          <w:tblCellMar>
            <w:top w:w="0" w:type="dxa"/>
            <w:left w:w="0" w:type="dxa"/>
            <w:bottom w:w="0" w:type="dxa"/>
            <w:right w:w="0" w:type="dxa"/>
          </w:tblCellMar>
        </w:tblPrEx>
        <w:trPr>
          <w:trHeight w:val="645"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b/>
                <w:kern w:val="0"/>
                <w:sz w:val="24"/>
              </w:rPr>
            </w:pPr>
            <w:r>
              <w:rPr>
                <w:rFonts w:hint="eastAsia" w:ascii="宋体" w:hAnsi="宋体"/>
                <w:b/>
                <w:kern w:val="0"/>
                <w:sz w:val="24"/>
              </w:rPr>
              <w:t>序号</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b/>
                <w:kern w:val="0"/>
                <w:sz w:val="24"/>
              </w:rPr>
            </w:pPr>
            <w:r>
              <w:rPr>
                <w:rFonts w:hint="eastAsia" w:ascii="宋体" w:hAnsi="宋体"/>
                <w:b/>
                <w:kern w:val="0"/>
                <w:sz w:val="24"/>
              </w:rPr>
              <w:t>档案名称</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b/>
                <w:kern w:val="0"/>
                <w:sz w:val="24"/>
              </w:rPr>
            </w:pPr>
            <w:r>
              <w:rPr>
                <w:rFonts w:hint="eastAsia" w:ascii="宋体" w:hAnsi="宋体"/>
                <w:b/>
                <w:kern w:val="0"/>
                <w:sz w:val="24"/>
              </w:rPr>
              <w:t>保管期限</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b/>
                <w:kern w:val="0"/>
                <w:sz w:val="24"/>
              </w:rPr>
            </w:pPr>
            <w:r>
              <w:rPr>
                <w:rFonts w:hint="eastAsia" w:ascii="宋体" w:hAnsi="宋体"/>
                <w:b/>
                <w:kern w:val="0"/>
                <w:sz w:val="24"/>
              </w:rPr>
              <w:t>备注</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一</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会计凭证类</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原始凭证</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15年</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2</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记账凭证</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15年</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3</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汇总凭证</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15年</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二</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会计账簿类</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4</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总账</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15</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包括日记账</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5</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明细账</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15</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6</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日记账</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15年</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现金和银行存款日记账保管25年</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7</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固定资产卡片</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固定资产报废清理后保管5年</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8</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辅助账簿</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15年</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三</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财务报告类</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包括各级主管部门汇总财务报告</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9</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月、季度财务报告</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3年</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包括文字分析</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10</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年度财务报告(决算)</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永久</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包括文字分析</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四</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其他类</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11</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会计移交清册</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15年</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12</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会计档案保管清册</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永久</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13</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会计档案销毁清册</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永久</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14</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银行余额调节表</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5年</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r>
      <w:tr>
        <w:tblPrEx>
          <w:tblCellMar>
            <w:top w:w="0" w:type="dxa"/>
            <w:left w:w="0" w:type="dxa"/>
            <w:bottom w:w="0" w:type="dxa"/>
            <w:right w:w="0" w:type="dxa"/>
          </w:tblCellMar>
        </w:tblPrEx>
        <w:trPr>
          <w:trHeight w:val="420" w:hRule="atLeast"/>
          <w:jc w:val="center"/>
        </w:trPr>
        <w:tc>
          <w:tcPr>
            <w:tcW w:w="59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15</w:t>
            </w:r>
          </w:p>
        </w:tc>
        <w:tc>
          <w:tcPr>
            <w:tcW w:w="253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银行对账单</w:t>
            </w:r>
          </w:p>
        </w:tc>
        <w:tc>
          <w:tcPr>
            <w:tcW w:w="1176"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5年</w:t>
            </w:r>
          </w:p>
        </w:tc>
        <w:tc>
          <w:tcPr>
            <w:tcW w:w="423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kern w:val="0"/>
                <w:sz w:val="24"/>
              </w:rPr>
            </w:pPr>
            <w:r>
              <w:rPr>
                <w:rFonts w:hint="eastAsia" w:ascii="宋体" w:hAnsi="宋体"/>
                <w:kern w:val="0"/>
                <w:sz w:val="24"/>
              </w:rPr>
              <w:t>　</w:t>
            </w:r>
          </w:p>
        </w:tc>
      </w:tr>
    </w:tbl>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p>
    <w:p>
      <w:pPr>
        <w:spacing w:line="360" w:lineRule="auto"/>
        <w:outlineLvl w:val="1"/>
        <w:rPr>
          <w:rFonts w:asciiTheme="minorEastAsia" w:hAnsiTheme="minorEastAsia"/>
          <w:sz w:val="24"/>
          <w:szCs w:val="24"/>
        </w:rPr>
      </w:pPr>
      <w:bookmarkStart w:id="103" w:name="_Toc403829225"/>
      <w:bookmarkStart w:id="104" w:name="_Toc30459"/>
      <w:r>
        <w:rPr>
          <w:rFonts w:hint="eastAsia" w:asciiTheme="minorEastAsia" w:hAnsiTheme="minorEastAsia"/>
          <w:sz w:val="24"/>
          <w:szCs w:val="24"/>
        </w:rPr>
        <w:t>附件17-1：《员工入职登记表》</w:t>
      </w:r>
      <w:bookmarkEnd w:id="103"/>
      <w:bookmarkEnd w:id="104"/>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基金会员工入职登记表</w:t>
      </w:r>
    </w:p>
    <w:tbl>
      <w:tblPr>
        <w:tblStyle w:val="9"/>
        <w:tblW w:w="93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417"/>
        <w:gridCol w:w="418"/>
        <w:gridCol w:w="157"/>
        <w:gridCol w:w="148"/>
        <w:gridCol w:w="113"/>
        <w:gridCol w:w="417"/>
        <w:gridCol w:w="12"/>
        <w:gridCol w:w="406"/>
        <w:gridCol w:w="418"/>
        <w:gridCol w:w="188"/>
        <w:gridCol w:w="230"/>
        <w:gridCol w:w="55"/>
        <w:gridCol w:w="362"/>
        <w:gridCol w:w="206"/>
        <w:gridCol w:w="212"/>
        <w:gridCol w:w="72"/>
        <w:gridCol w:w="144"/>
        <w:gridCol w:w="202"/>
        <w:gridCol w:w="417"/>
        <w:gridCol w:w="418"/>
        <w:gridCol w:w="418"/>
        <w:gridCol w:w="140"/>
        <w:gridCol w:w="63"/>
        <w:gridCol w:w="215"/>
        <w:gridCol w:w="417"/>
        <w:gridCol w:w="418"/>
        <w:gridCol w:w="418"/>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jc w:val="center"/>
              <w:rPr>
                <w:sz w:val="24"/>
                <w:szCs w:val="24"/>
              </w:rPr>
            </w:pPr>
          </w:p>
          <w:p>
            <w:pPr>
              <w:jc w:val="center"/>
              <w:rPr>
                <w:sz w:val="24"/>
                <w:szCs w:val="24"/>
              </w:rPr>
            </w:pPr>
            <w:r>
              <w:rPr>
                <w:rFonts w:hint="eastAsia"/>
                <w:sz w:val="24"/>
                <w:szCs w:val="24"/>
              </w:rPr>
              <w:t>姓名</w:t>
            </w:r>
          </w:p>
        </w:tc>
        <w:tc>
          <w:tcPr>
            <w:tcW w:w="1682" w:type="dxa"/>
            <w:gridSpan w:val="7"/>
            <w:shd w:val="clear" w:color="auto" w:fill="auto"/>
            <w:vAlign w:val="center"/>
          </w:tcPr>
          <w:p>
            <w:pPr>
              <w:jc w:val="center"/>
              <w:rPr>
                <w:sz w:val="24"/>
                <w:szCs w:val="24"/>
              </w:rPr>
            </w:pPr>
          </w:p>
          <w:p>
            <w:pPr>
              <w:jc w:val="center"/>
              <w:rPr>
                <w:sz w:val="24"/>
                <w:szCs w:val="24"/>
              </w:rPr>
            </w:pPr>
          </w:p>
        </w:tc>
        <w:tc>
          <w:tcPr>
            <w:tcW w:w="1012" w:type="dxa"/>
            <w:gridSpan w:val="3"/>
            <w:shd w:val="clear" w:color="auto" w:fill="auto"/>
            <w:vAlign w:val="center"/>
          </w:tcPr>
          <w:p>
            <w:pPr>
              <w:jc w:val="center"/>
              <w:rPr>
                <w:sz w:val="24"/>
                <w:szCs w:val="24"/>
              </w:rPr>
            </w:pPr>
          </w:p>
          <w:p>
            <w:pPr>
              <w:rPr>
                <w:sz w:val="24"/>
                <w:szCs w:val="24"/>
              </w:rPr>
            </w:pPr>
            <w:r>
              <w:rPr>
                <w:rFonts w:hint="eastAsia"/>
                <w:sz w:val="24"/>
                <w:szCs w:val="24"/>
              </w:rPr>
              <w:t>性别</w:t>
            </w:r>
          </w:p>
        </w:tc>
        <w:tc>
          <w:tcPr>
            <w:tcW w:w="853" w:type="dxa"/>
            <w:gridSpan w:val="4"/>
            <w:shd w:val="clear" w:color="auto" w:fill="auto"/>
            <w:vAlign w:val="center"/>
          </w:tcPr>
          <w:p>
            <w:pPr>
              <w:jc w:val="center"/>
              <w:rPr>
                <w:sz w:val="24"/>
                <w:szCs w:val="24"/>
              </w:rPr>
            </w:pPr>
          </w:p>
        </w:tc>
        <w:tc>
          <w:tcPr>
            <w:tcW w:w="630" w:type="dxa"/>
            <w:gridSpan w:val="4"/>
            <w:shd w:val="clear" w:color="auto" w:fill="auto"/>
            <w:vAlign w:val="center"/>
          </w:tcPr>
          <w:p>
            <w:pPr>
              <w:jc w:val="center"/>
              <w:rPr>
                <w:sz w:val="24"/>
                <w:szCs w:val="24"/>
              </w:rPr>
            </w:pPr>
            <w:r>
              <w:rPr>
                <w:rFonts w:hint="eastAsia"/>
                <w:sz w:val="24"/>
                <w:szCs w:val="24"/>
              </w:rPr>
              <w:t>出生</w:t>
            </w:r>
          </w:p>
          <w:p>
            <w:pPr>
              <w:jc w:val="center"/>
              <w:rPr>
                <w:sz w:val="24"/>
                <w:szCs w:val="24"/>
              </w:rPr>
            </w:pPr>
            <w:r>
              <w:rPr>
                <w:rFonts w:hint="eastAsia"/>
                <w:sz w:val="24"/>
                <w:szCs w:val="24"/>
              </w:rPr>
              <w:t>日期</w:t>
            </w:r>
          </w:p>
        </w:tc>
        <w:tc>
          <w:tcPr>
            <w:tcW w:w="1393" w:type="dxa"/>
            <w:gridSpan w:val="4"/>
            <w:shd w:val="clear" w:color="auto" w:fill="auto"/>
            <w:vAlign w:val="center"/>
          </w:tcPr>
          <w:p>
            <w:pPr>
              <w:jc w:val="center"/>
              <w:rPr>
                <w:sz w:val="24"/>
                <w:szCs w:val="24"/>
              </w:rPr>
            </w:pPr>
          </w:p>
        </w:tc>
        <w:tc>
          <w:tcPr>
            <w:tcW w:w="2846" w:type="dxa"/>
            <w:gridSpan w:val="6"/>
            <w:vMerge w:val="restart"/>
            <w:shd w:val="clear" w:color="auto" w:fill="auto"/>
            <w:vAlign w:val="center"/>
          </w:tcPr>
          <w:p>
            <w:pPr>
              <w:rPr>
                <w:sz w:val="24"/>
                <w:szCs w:val="24"/>
              </w:rPr>
            </w:pPr>
          </w:p>
          <w:p>
            <w:pPr>
              <w:jc w:val="center"/>
              <w:rPr>
                <w:sz w:val="24"/>
                <w:szCs w:val="24"/>
              </w:rPr>
            </w:pPr>
            <w:r>
              <w:rPr>
                <w:rFonts w:hint="eastAsia"/>
                <w:sz w:val="24"/>
                <w:szCs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rPr>
                <w:sz w:val="24"/>
                <w:szCs w:val="24"/>
              </w:rPr>
            </w:pPr>
            <w:r>
              <w:rPr>
                <w:rFonts w:hint="eastAsia"/>
                <w:sz w:val="24"/>
                <w:szCs w:val="24"/>
              </w:rPr>
              <w:t>曾用名</w:t>
            </w:r>
          </w:p>
        </w:tc>
        <w:tc>
          <w:tcPr>
            <w:tcW w:w="1682" w:type="dxa"/>
            <w:gridSpan w:val="7"/>
            <w:shd w:val="clear" w:color="auto" w:fill="auto"/>
            <w:vAlign w:val="center"/>
          </w:tcPr>
          <w:p>
            <w:pPr>
              <w:jc w:val="center"/>
              <w:rPr>
                <w:sz w:val="24"/>
                <w:szCs w:val="24"/>
              </w:rPr>
            </w:pPr>
          </w:p>
          <w:p>
            <w:pPr>
              <w:jc w:val="center"/>
              <w:rPr>
                <w:sz w:val="24"/>
                <w:szCs w:val="24"/>
              </w:rPr>
            </w:pPr>
          </w:p>
        </w:tc>
        <w:tc>
          <w:tcPr>
            <w:tcW w:w="1012" w:type="dxa"/>
            <w:gridSpan w:val="3"/>
            <w:shd w:val="clear" w:color="auto" w:fill="auto"/>
            <w:vAlign w:val="center"/>
          </w:tcPr>
          <w:p>
            <w:pPr>
              <w:rPr>
                <w:sz w:val="24"/>
                <w:szCs w:val="24"/>
              </w:rPr>
            </w:pPr>
            <w:r>
              <w:rPr>
                <w:rFonts w:hint="eastAsia"/>
                <w:sz w:val="24"/>
                <w:szCs w:val="24"/>
              </w:rPr>
              <w:t>体重</w:t>
            </w:r>
          </w:p>
        </w:tc>
        <w:tc>
          <w:tcPr>
            <w:tcW w:w="853" w:type="dxa"/>
            <w:gridSpan w:val="4"/>
            <w:shd w:val="clear" w:color="auto" w:fill="auto"/>
            <w:vAlign w:val="center"/>
          </w:tcPr>
          <w:p>
            <w:pPr>
              <w:jc w:val="center"/>
              <w:rPr>
                <w:sz w:val="24"/>
                <w:szCs w:val="24"/>
              </w:rPr>
            </w:pPr>
          </w:p>
        </w:tc>
        <w:tc>
          <w:tcPr>
            <w:tcW w:w="630" w:type="dxa"/>
            <w:gridSpan w:val="4"/>
            <w:shd w:val="clear" w:color="auto" w:fill="auto"/>
            <w:vAlign w:val="center"/>
          </w:tcPr>
          <w:p>
            <w:pPr>
              <w:rPr>
                <w:sz w:val="24"/>
                <w:szCs w:val="24"/>
              </w:rPr>
            </w:pPr>
            <w:r>
              <w:rPr>
                <w:rFonts w:hint="eastAsia"/>
                <w:sz w:val="24"/>
                <w:szCs w:val="24"/>
              </w:rPr>
              <w:t>身高</w:t>
            </w:r>
          </w:p>
        </w:tc>
        <w:tc>
          <w:tcPr>
            <w:tcW w:w="1393" w:type="dxa"/>
            <w:gridSpan w:val="4"/>
            <w:shd w:val="clear" w:color="auto" w:fill="auto"/>
            <w:vAlign w:val="center"/>
          </w:tcPr>
          <w:p>
            <w:pPr>
              <w:jc w:val="center"/>
              <w:rPr>
                <w:sz w:val="24"/>
                <w:szCs w:val="24"/>
              </w:rPr>
            </w:pPr>
          </w:p>
        </w:tc>
        <w:tc>
          <w:tcPr>
            <w:tcW w:w="2846" w:type="dxa"/>
            <w:gridSpan w:val="6"/>
            <w:vMerge w:val="continue"/>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rPr>
                <w:sz w:val="24"/>
                <w:szCs w:val="24"/>
              </w:rPr>
            </w:pPr>
            <w:r>
              <w:rPr>
                <w:rFonts w:hint="eastAsia"/>
                <w:sz w:val="24"/>
                <w:szCs w:val="24"/>
              </w:rPr>
              <w:t>民族</w:t>
            </w:r>
          </w:p>
        </w:tc>
        <w:tc>
          <w:tcPr>
            <w:tcW w:w="1682" w:type="dxa"/>
            <w:gridSpan w:val="7"/>
            <w:shd w:val="clear" w:color="auto" w:fill="auto"/>
            <w:vAlign w:val="center"/>
          </w:tcPr>
          <w:p>
            <w:pPr>
              <w:jc w:val="center"/>
              <w:rPr>
                <w:sz w:val="24"/>
                <w:szCs w:val="24"/>
              </w:rPr>
            </w:pPr>
          </w:p>
          <w:p>
            <w:pPr>
              <w:jc w:val="center"/>
              <w:rPr>
                <w:sz w:val="24"/>
                <w:szCs w:val="24"/>
              </w:rPr>
            </w:pPr>
          </w:p>
        </w:tc>
        <w:tc>
          <w:tcPr>
            <w:tcW w:w="1012" w:type="dxa"/>
            <w:gridSpan w:val="3"/>
            <w:shd w:val="clear" w:color="auto" w:fill="auto"/>
            <w:vAlign w:val="center"/>
          </w:tcPr>
          <w:p>
            <w:pPr>
              <w:jc w:val="center"/>
              <w:rPr>
                <w:sz w:val="24"/>
                <w:szCs w:val="24"/>
              </w:rPr>
            </w:pPr>
          </w:p>
          <w:p>
            <w:pPr>
              <w:jc w:val="center"/>
              <w:rPr>
                <w:sz w:val="24"/>
                <w:szCs w:val="24"/>
              </w:rPr>
            </w:pPr>
            <w:r>
              <w:rPr>
                <w:rFonts w:hint="eastAsia"/>
                <w:sz w:val="24"/>
                <w:szCs w:val="24"/>
              </w:rPr>
              <w:t>籍贯</w:t>
            </w:r>
          </w:p>
        </w:tc>
        <w:tc>
          <w:tcPr>
            <w:tcW w:w="853" w:type="dxa"/>
            <w:gridSpan w:val="4"/>
            <w:shd w:val="clear" w:color="auto" w:fill="auto"/>
            <w:vAlign w:val="center"/>
          </w:tcPr>
          <w:p>
            <w:pPr>
              <w:jc w:val="center"/>
              <w:rPr>
                <w:sz w:val="24"/>
                <w:szCs w:val="24"/>
              </w:rPr>
            </w:pPr>
          </w:p>
        </w:tc>
        <w:tc>
          <w:tcPr>
            <w:tcW w:w="630" w:type="dxa"/>
            <w:gridSpan w:val="4"/>
            <w:shd w:val="clear" w:color="auto" w:fill="auto"/>
            <w:vAlign w:val="center"/>
          </w:tcPr>
          <w:p>
            <w:pPr>
              <w:jc w:val="center"/>
              <w:rPr>
                <w:sz w:val="24"/>
                <w:szCs w:val="24"/>
              </w:rPr>
            </w:pPr>
            <w:r>
              <w:rPr>
                <w:rFonts w:hint="eastAsia"/>
                <w:sz w:val="24"/>
                <w:szCs w:val="24"/>
              </w:rPr>
              <w:t>婚姻</w:t>
            </w:r>
          </w:p>
          <w:p>
            <w:pPr>
              <w:jc w:val="center"/>
              <w:rPr>
                <w:sz w:val="24"/>
                <w:szCs w:val="24"/>
              </w:rPr>
            </w:pPr>
            <w:r>
              <w:rPr>
                <w:rFonts w:hint="eastAsia"/>
                <w:sz w:val="24"/>
                <w:szCs w:val="24"/>
              </w:rPr>
              <w:t>状况</w:t>
            </w:r>
          </w:p>
        </w:tc>
        <w:tc>
          <w:tcPr>
            <w:tcW w:w="1393" w:type="dxa"/>
            <w:gridSpan w:val="4"/>
            <w:shd w:val="clear" w:color="auto" w:fill="auto"/>
            <w:vAlign w:val="center"/>
          </w:tcPr>
          <w:p>
            <w:pPr>
              <w:jc w:val="center"/>
              <w:rPr>
                <w:sz w:val="24"/>
                <w:szCs w:val="24"/>
              </w:rPr>
            </w:pPr>
          </w:p>
        </w:tc>
        <w:tc>
          <w:tcPr>
            <w:tcW w:w="2846" w:type="dxa"/>
            <w:gridSpan w:val="6"/>
            <w:vMerge w:val="continue"/>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rPr>
                <w:sz w:val="24"/>
                <w:szCs w:val="24"/>
              </w:rPr>
            </w:pPr>
            <w:r>
              <w:rPr>
                <w:rFonts w:hint="eastAsia"/>
                <w:sz w:val="24"/>
                <w:szCs w:val="24"/>
              </w:rPr>
              <w:t>政治</w:t>
            </w:r>
          </w:p>
          <w:p>
            <w:pPr>
              <w:rPr>
                <w:sz w:val="24"/>
                <w:szCs w:val="24"/>
              </w:rPr>
            </w:pPr>
            <w:r>
              <w:rPr>
                <w:rFonts w:hint="eastAsia"/>
                <w:sz w:val="24"/>
                <w:szCs w:val="24"/>
              </w:rPr>
              <w:t>面貌</w:t>
            </w:r>
          </w:p>
        </w:tc>
        <w:tc>
          <w:tcPr>
            <w:tcW w:w="1682" w:type="dxa"/>
            <w:gridSpan w:val="7"/>
            <w:shd w:val="clear" w:color="auto" w:fill="auto"/>
            <w:vAlign w:val="center"/>
          </w:tcPr>
          <w:p>
            <w:pPr>
              <w:jc w:val="center"/>
              <w:rPr>
                <w:sz w:val="24"/>
                <w:szCs w:val="24"/>
              </w:rPr>
            </w:pPr>
          </w:p>
        </w:tc>
        <w:tc>
          <w:tcPr>
            <w:tcW w:w="1012" w:type="dxa"/>
            <w:gridSpan w:val="3"/>
            <w:shd w:val="clear" w:color="auto" w:fill="auto"/>
            <w:vAlign w:val="center"/>
          </w:tcPr>
          <w:p>
            <w:pPr>
              <w:jc w:val="center"/>
              <w:rPr>
                <w:sz w:val="24"/>
                <w:szCs w:val="24"/>
              </w:rPr>
            </w:pPr>
            <w:r>
              <w:rPr>
                <w:rFonts w:hint="eastAsia"/>
                <w:sz w:val="24"/>
                <w:szCs w:val="24"/>
              </w:rPr>
              <w:t>健康</w:t>
            </w:r>
          </w:p>
          <w:p>
            <w:pPr>
              <w:jc w:val="center"/>
              <w:rPr>
                <w:sz w:val="24"/>
                <w:szCs w:val="24"/>
              </w:rPr>
            </w:pPr>
            <w:r>
              <w:rPr>
                <w:rFonts w:hint="eastAsia"/>
                <w:sz w:val="24"/>
                <w:szCs w:val="24"/>
              </w:rPr>
              <w:t>状况</w:t>
            </w:r>
          </w:p>
        </w:tc>
        <w:tc>
          <w:tcPr>
            <w:tcW w:w="853" w:type="dxa"/>
            <w:gridSpan w:val="4"/>
            <w:shd w:val="clear" w:color="auto" w:fill="auto"/>
            <w:vAlign w:val="center"/>
          </w:tcPr>
          <w:p>
            <w:pPr>
              <w:jc w:val="center"/>
              <w:rPr>
                <w:sz w:val="24"/>
                <w:szCs w:val="24"/>
              </w:rPr>
            </w:pPr>
          </w:p>
        </w:tc>
        <w:tc>
          <w:tcPr>
            <w:tcW w:w="630" w:type="dxa"/>
            <w:gridSpan w:val="4"/>
            <w:shd w:val="clear" w:color="auto" w:fill="auto"/>
            <w:vAlign w:val="center"/>
          </w:tcPr>
          <w:p>
            <w:pPr>
              <w:jc w:val="center"/>
              <w:rPr>
                <w:sz w:val="24"/>
                <w:szCs w:val="24"/>
              </w:rPr>
            </w:pPr>
          </w:p>
          <w:p>
            <w:pPr>
              <w:jc w:val="center"/>
              <w:rPr>
                <w:sz w:val="24"/>
                <w:szCs w:val="24"/>
              </w:rPr>
            </w:pPr>
            <w:r>
              <w:rPr>
                <w:rFonts w:hint="eastAsia"/>
                <w:sz w:val="24"/>
                <w:szCs w:val="24"/>
              </w:rPr>
              <w:t>血型</w:t>
            </w:r>
          </w:p>
        </w:tc>
        <w:tc>
          <w:tcPr>
            <w:tcW w:w="1393" w:type="dxa"/>
            <w:gridSpan w:val="4"/>
            <w:shd w:val="clear" w:color="auto" w:fill="auto"/>
            <w:vAlign w:val="center"/>
          </w:tcPr>
          <w:p>
            <w:pPr>
              <w:jc w:val="center"/>
              <w:rPr>
                <w:sz w:val="24"/>
                <w:szCs w:val="24"/>
              </w:rPr>
            </w:pPr>
          </w:p>
        </w:tc>
        <w:tc>
          <w:tcPr>
            <w:tcW w:w="2846" w:type="dxa"/>
            <w:gridSpan w:val="6"/>
            <w:vMerge w:val="continue"/>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jc w:val="center"/>
              <w:rPr>
                <w:sz w:val="24"/>
                <w:szCs w:val="24"/>
              </w:rPr>
            </w:pPr>
            <w:r>
              <w:rPr>
                <w:rFonts w:hint="eastAsia"/>
                <w:sz w:val="24"/>
                <w:szCs w:val="24"/>
              </w:rPr>
              <w:t>身份证</w:t>
            </w:r>
          </w:p>
          <w:p>
            <w:pPr>
              <w:jc w:val="center"/>
              <w:rPr>
                <w:sz w:val="24"/>
                <w:szCs w:val="24"/>
              </w:rPr>
            </w:pPr>
            <w:r>
              <w:rPr>
                <w:rFonts w:hint="eastAsia"/>
                <w:sz w:val="24"/>
                <w:szCs w:val="24"/>
              </w:rPr>
              <w:t>号码</w:t>
            </w:r>
          </w:p>
        </w:tc>
        <w:tc>
          <w:tcPr>
            <w:tcW w:w="417" w:type="dxa"/>
            <w:shd w:val="clear" w:color="auto" w:fill="auto"/>
            <w:vAlign w:val="center"/>
          </w:tcPr>
          <w:p>
            <w:pPr>
              <w:jc w:val="center"/>
              <w:rPr>
                <w:sz w:val="24"/>
                <w:szCs w:val="24"/>
              </w:rPr>
            </w:pPr>
          </w:p>
        </w:tc>
        <w:tc>
          <w:tcPr>
            <w:tcW w:w="418" w:type="dxa"/>
            <w:shd w:val="clear" w:color="auto" w:fill="auto"/>
            <w:vAlign w:val="center"/>
          </w:tcPr>
          <w:p>
            <w:pPr>
              <w:jc w:val="center"/>
              <w:rPr>
                <w:sz w:val="24"/>
                <w:szCs w:val="24"/>
              </w:rPr>
            </w:pPr>
          </w:p>
        </w:tc>
        <w:tc>
          <w:tcPr>
            <w:tcW w:w="418" w:type="dxa"/>
            <w:gridSpan w:val="3"/>
            <w:shd w:val="clear" w:color="auto" w:fill="auto"/>
            <w:vAlign w:val="center"/>
          </w:tcPr>
          <w:p>
            <w:pPr>
              <w:jc w:val="center"/>
              <w:rPr>
                <w:sz w:val="24"/>
                <w:szCs w:val="24"/>
              </w:rPr>
            </w:pPr>
          </w:p>
        </w:tc>
        <w:tc>
          <w:tcPr>
            <w:tcW w:w="417" w:type="dxa"/>
            <w:shd w:val="clear" w:color="auto" w:fill="auto"/>
            <w:vAlign w:val="center"/>
          </w:tcPr>
          <w:p>
            <w:pPr>
              <w:jc w:val="center"/>
              <w:rPr>
                <w:sz w:val="24"/>
                <w:szCs w:val="24"/>
              </w:rPr>
            </w:pPr>
          </w:p>
        </w:tc>
        <w:tc>
          <w:tcPr>
            <w:tcW w:w="418" w:type="dxa"/>
            <w:gridSpan w:val="2"/>
            <w:shd w:val="clear" w:color="auto" w:fill="auto"/>
            <w:vAlign w:val="center"/>
          </w:tcPr>
          <w:p>
            <w:pPr>
              <w:jc w:val="center"/>
              <w:rPr>
                <w:sz w:val="24"/>
                <w:szCs w:val="24"/>
              </w:rPr>
            </w:pPr>
          </w:p>
        </w:tc>
        <w:tc>
          <w:tcPr>
            <w:tcW w:w="418" w:type="dxa"/>
            <w:shd w:val="clear" w:color="auto" w:fill="auto"/>
            <w:vAlign w:val="center"/>
          </w:tcPr>
          <w:p>
            <w:pPr>
              <w:jc w:val="center"/>
              <w:rPr>
                <w:sz w:val="24"/>
                <w:szCs w:val="24"/>
              </w:rPr>
            </w:pPr>
          </w:p>
        </w:tc>
        <w:tc>
          <w:tcPr>
            <w:tcW w:w="418" w:type="dxa"/>
            <w:gridSpan w:val="2"/>
            <w:shd w:val="clear" w:color="auto" w:fill="auto"/>
            <w:vAlign w:val="center"/>
          </w:tcPr>
          <w:p>
            <w:pPr>
              <w:jc w:val="center"/>
              <w:rPr>
                <w:sz w:val="24"/>
                <w:szCs w:val="24"/>
              </w:rPr>
            </w:pPr>
          </w:p>
        </w:tc>
        <w:tc>
          <w:tcPr>
            <w:tcW w:w="417" w:type="dxa"/>
            <w:gridSpan w:val="2"/>
            <w:shd w:val="clear" w:color="auto" w:fill="auto"/>
            <w:vAlign w:val="center"/>
          </w:tcPr>
          <w:p>
            <w:pPr>
              <w:jc w:val="center"/>
              <w:rPr>
                <w:sz w:val="24"/>
                <w:szCs w:val="24"/>
              </w:rPr>
            </w:pPr>
          </w:p>
        </w:tc>
        <w:tc>
          <w:tcPr>
            <w:tcW w:w="418" w:type="dxa"/>
            <w:gridSpan w:val="2"/>
            <w:shd w:val="clear" w:color="auto" w:fill="auto"/>
            <w:vAlign w:val="center"/>
          </w:tcPr>
          <w:p>
            <w:pPr>
              <w:jc w:val="center"/>
              <w:rPr>
                <w:sz w:val="24"/>
                <w:szCs w:val="24"/>
              </w:rPr>
            </w:pPr>
          </w:p>
        </w:tc>
        <w:tc>
          <w:tcPr>
            <w:tcW w:w="418" w:type="dxa"/>
            <w:gridSpan w:val="3"/>
            <w:shd w:val="clear" w:color="auto" w:fill="auto"/>
            <w:vAlign w:val="center"/>
          </w:tcPr>
          <w:p>
            <w:pPr>
              <w:jc w:val="center"/>
              <w:rPr>
                <w:sz w:val="24"/>
                <w:szCs w:val="24"/>
              </w:rPr>
            </w:pPr>
          </w:p>
        </w:tc>
        <w:tc>
          <w:tcPr>
            <w:tcW w:w="417" w:type="dxa"/>
            <w:shd w:val="clear" w:color="auto" w:fill="auto"/>
            <w:vAlign w:val="center"/>
          </w:tcPr>
          <w:p>
            <w:pPr>
              <w:jc w:val="center"/>
              <w:rPr>
                <w:sz w:val="24"/>
                <w:szCs w:val="24"/>
              </w:rPr>
            </w:pPr>
          </w:p>
        </w:tc>
        <w:tc>
          <w:tcPr>
            <w:tcW w:w="418" w:type="dxa"/>
            <w:shd w:val="clear" w:color="auto" w:fill="auto"/>
            <w:vAlign w:val="center"/>
          </w:tcPr>
          <w:p>
            <w:pPr>
              <w:jc w:val="center"/>
              <w:rPr>
                <w:sz w:val="24"/>
                <w:szCs w:val="24"/>
              </w:rPr>
            </w:pPr>
          </w:p>
        </w:tc>
        <w:tc>
          <w:tcPr>
            <w:tcW w:w="418" w:type="dxa"/>
            <w:shd w:val="clear" w:color="auto" w:fill="auto"/>
            <w:vAlign w:val="center"/>
          </w:tcPr>
          <w:p>
            <w:pPr>
              <w:jc w:val="center"/>
              <w:rPr>
                <w:sz w:val="24"/>
                <w:szCs w:val="24"/>
              </w:rPr>
            </w:pPr>
          </w:p>
        </w:tc>
        <w:tc>
          <w:tcPr>
            <w:tcW w:w="418" w:type="dxa"/>
            <w:gridSpan w:val="3"/>
            <w:shd w:val="clear" w:color="auto" w:fill="auto"/>
            <w:vAlign w:val="center"/>
          </w:tcPr>
          <w:p>
            <w:pPr>
              <w:jc w:val="center"/>
              <w:rPr>
                <w:sz w:val="24"/>
                <w:szCs w:val="24"/>
              </w:rPr>
            </w:pPr>
          </w:p>
        </w:tc>
        <w:tc>
          <w:tcPr>
            <w:tcW w:w="417" w:type="dxa"/>
            <w:shd w:val="clear" w:color="auto" w:fill="auto"/>
            <w:vAlign w:val="center"/>
          </w:tcPr>
          <w:p>
            <w:pPr>
              <w:jc w:val="center"/>
              <w:rPr>
                <w:sz w:val="24"/>
                <w:szCs w:val="24"/>
              </w:rPr>
            </w:pPr>
          </w:p>
        </w:tc>
        <w:tc>
          <w:tcPr>
            <w:tcW w:w="418" w:type="dxa"/>
            <w:shd w:val="clear" w:color="auto" w:fill="auto"/>
            <w:vAlign w:val="center"/>
          </w:tcPr>
          <w:p>
            <w:pPr>
              <w:jc w:val="center"/>
              <w:rPr>
                <w:sz w:val="24"/>
                <w:szCs w:val="24"/>
              </w:rPr>
            </w:pPr>
          </w:p>
        </w:tc>
        <w:tc>
          <w:tcPr>
            <w:tcW w:w="418" w:type="dxa"/>
            <w:shd w:val="clear" w:color="auto" w:fill="auto"/>
            <w:vAlign w:val="center"/>
          </w:tcPr>
          <w:p>
            <w:pPr>
              <w:jc w:val="center"/>
              <w:rPr>
                <w:sz w:val="24"/>
                <w:szCs w:val="24"/>
              </w:rPr>
            </w:pPr>
          </w:p>
        </w:tc>
        <w:tc>
          <w:tcPr>
            <w:tcW w:w="1315" w:type="dxa"/>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rPr>
                <w:sz w:val="24"/>
                <w:szCs w:val="24"/>
              </w:rPr>
            </w:pPr>
            <w:r>
              <w:rPr>
                <w:rFonts w:hint="eastAsia"/>
                <w:sz w:val="24"/>
                <w:szCs w:val="24"/>
              </w:rPr>
              <w:t>户口</w:t>
            </w:r>
          </w:p>
          <w:p>
            <w:pPr>
              <w:rPr>
                <w:sz w:val="24"/>
                <w:szCs w:val="24"/>
              </w:rPr>
            </w:pPr>
            <w:r>
              <w:rPr>
                <w:rFonts w:hint="eastAsia"/>
                <w:sz w:val="24"/>
                <w:szCs w:val="24"/>
              </w:rPr>
              <w:t>类型</w:t>
            </w:r>
          </w:p>
        </w:tc>
        <w:tc>
          <w:tcPr>
            <w:tcW w:w="2506" w:type="dxa"/>
            <w:gridSpan w:val="9"/>
            <w:shd w:val="clear" w:color="auto" w:fill="auto"/>
            <w:vAlign w:val="center"/>
          </w:tcPr>
          <w:p>
            <w:pPr>
              <w:rPr>
                <w:rFonts w:ascii="MS Mincho" w:hAnsi="MS Mincho" w:cs="MS Mincho"/>
                <w:sz w:val="24"/>
                <w:szCs w:val="24"/>
              </w:rPr>
            </w:pPr>
            <w:r>
              <w:rPr>
                <w:rFonts w:hint="eastAsia"/>
                <w:sz w:val="24"/>
                <w:szCs w:val="24"/>
              </w:rPr>
              <w:t xml:space="preserve">城镇  </w:t>
            </w:r>
            <w:r>
              <w:rPr>
                <w:rFonts w:hint="eastAsia" w:ascii="MS Mincho" w:hAnsi="MS Mincho" w:eastAsia="MS Mincho" w:cs="MS Mincho"/>
                <w:sz w:val="24"/>
                <w:szCs w:val="24"/>
              </w:rPr>
              <w:t>♢</w:t>
            </w:r>
            <w:r>
              <w:rPr>
                <w:rFonts w:hint="eastAsia"/>
                <w:sz w:val="24"/>
                <w:szCs w:val="24"/>
              </w:rPr>
              <w:t xml:space="preserve">  非城镇  </w:t>
            </w:r>
            <w:r>
              <w:rPr>
                <w:rFonts w:hint="eastAsia" w:ascii="MS Mincho" w:hAnsi="MS Mincho" w:eastAsia="MS Mincho" w:cs="MS Mincho"/>
                <w:sz w:val="24"/>
                <w:szCs w:val="24"/>
              </w:rPr>
              <w:t>♢</w:t>
            </w:r>
          </w:p>
        </w:tc>
        <w:tc>
          <w:tcPr>
            <w:tcW w:w="1469" w:type="dxa"/>
            <w:gridSpan w:val="8"/>
            <w:shd w:val="clear" w:color="auto" w:fill="auto"/>
            <w:vAlign w:val="center"/>
          </w:tcPr>
          <w:p>
            <w:pPr>
              <w:rPr>
                <w:sz w:val="24"/>
                <w:szCs w:val="24"/>
              </w:rPr>
            </w:pPr>
            <w:r>
              <w:rPr>
                <w:rFonts w:hint="eastAsia"/>
                <w:sz w:val="24"/>
                <w:szCs w:val="24"/>
              </w:rPr>
              <w:t>户口所在地</w:t>
            </w:r>
          </w:p>
        </w:tc>
        <w:tc>
          <w:tcPr>
            <w:tcW w:w="4441" w:type="dxa"/>
            <w:gridSpan w:val="11"/>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53" w:type="dxa"/>
            <w:shd w:val="clear" w:color="auto" w:fill="auto"/>
            <w:vAlign w:val="center"/>
          </w:tcPr>
          <w:p>
            <w:pPr>
              <w:rPr>
                <w:sz w:val="24"/>
                <w:szCs w:val="24"/>
              </w:rPr>
            </w:pPr>
            <w:r>
              <w:rPr>
                <w:rFonts w:hint="eastAsia"/>
                <w:sz w:val="24"/>
                <w:szCs w:val="24"/>
              </w:rPr>
              <w:t>学历</w:t>
            </w:r>
          </w:p>
        </w:tc>
        <w:tc>
          <w:tcPr>
            <w:tcW w:w="1682" w:type="dxa"/>
            <w:gridSpan w:val="7"/>
            <w:shd w:val="clear" w:color="auto" w:fill="auto"/>
            <w:vAlign w:val="center"/>
          </w:tcPr>
          <w:p>
            <w:pPr>
              <w:jc w:val="center"/>
              <w:rPr>
                <w:sz w:val="24"/>
                <w:szCs w:val="24"/>
              </w:rPr>
            </w:pPr>
          </w:p>
        </w:tc>
        <w:tc>
          <w:tcPr>
            <w:tcW w:w="824" w:type="dxa"/>
            <w:gridSpan w:val="2"/>
            <w:shd w:val="clear" w:color="auto" w:fill="auto"/>
            <w:vAlign w:val="center"/>
          </w:tcPr>
          <w:p>
            <w:pPr>
              <w:rPr>
                <w:sz w:val="24"/>
                <w:szCs w:val="24"/>
              </w:rPr>
            </w:pPr>
            <w:r>
              <w:rPr>
                <w:rFonts w:hint="eastAsia"/>
                <w:sz w:val="24"/>
                <w:szCs w:val="24"/>
              </w:rPr>
              <w:t>学位</w:t>
            </w:r>
          </w:p>
        </w:tc>
        <w:tc>
          <w:tcPr>
            <w:tcW w:w="1671" w:type="dxa"/>
            <w:gridSpan w:val="9"/>
            <w:shd w:val="clear" w:color="auto" w:fill="auto"/>
            <w:vAlign w:val="center"/>
          </w:tcPr>
          <w:p>
            <w:pPr>
              <w:jc w:val="center"/>
              <w:rPr>
                <w:sz w:val="24"/>
                <w:szCs w:val="24"/>
              </w:rPr>
            </w:pPr>
          </w:p>
        </w:tc>
        <w:tc>
          <w:tcPr>
            <w:tcW w:w="1456" w:type="dxa"/>
            <w:gridSpan w:val="5"/>
            <w:shd w:val="clear" w:color="auto" w:fill="auto"/>
            <w:vAlign w:val="center"/>
          </w:tcPr>
          <w:p>
            <w:pPr>
              <w:rPr>
                <w:sz w:val="24"/>
                <w:szCs w:val="24"/>
              </w:rPr>
            </w:pPr>
            <w:r>
              <w:rPr>
                <w:rFonts w:hint="eastAsia"/>
                <w:sz w:val="24"/>
                <w:szCs w:val="24"/>
              </w:rPr>
              <w:t>第二学位</w:t>
            </w:r>
          </w:p>
        </w:tc>
        <w:tc>
          <w:tcPr>
            <w:tcW w:w="2783" w:type="dxa"/>
            <w:gridSpan w:val="5"/>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953" w:type="dxa"/>
            <w:shd w:val="clear" w:color="auto" w:fill="auto"/>
            <w:vAlign w:val="center"/>
          </w:tcPr>
          <w:p>
            <w:pPr>
              <w:jc w:val="center"/>
              <w:rPr>
                <w:sz w:val="24"/>
                <w:szCs w:val="24"/>
              </w:rPr>
            </w:pPr>
          </w:p>
          <w:p>
            <w:pPr>
              <w:jc w:val="center"/>
              <w:rPr>
                <w:sz w:val="24"/>
                <w:szCs w:val="24"/>
              </w:rPr>
            </w:pPr>
            <w:r>
              <w:rPr>
                <w:rFonts w:hint="eastAsia"/>
                <w:sz w:val="24"/>
                <w:szCs w:val="24"/>
              </w:rPr>
              <w:t>专业</w:t>
            </w:r>
          </w:p>
        </w:tc>
        <w:tc>
          <w:tcPr>
            <w:tcW w:w="4177" w:type="dxa"/>
            <w:gridSpan w:val="18"/>
            <w:shd w:val="clear" w:color="auto" w:fill="auto"/>
            <w:vAlign w:val="center"/>
          </w:tcPr>
          <w:p>
            <w:pPr>
              <w:jc w:val="center"/>
              <w:rPr>
                <w:sz w:val="24"/>
                <w:szCs w:val="24"/>
              </w:rPr>
            </w:pPr>
          </w:p>
        </w:tc>
        <w:tc>
          <w:tcPr>
            <w:tcW w:w="1456" w:type="dxa"/>
            <w:gridSpan w:val="5"/>
            <w:shd w:val="clear" w:color="auto" w:fill="auto"/>
            <w:vAlign w:val="center"/>
          </w:tcPr>
          <w:p>
            <w:pPr>
              <w:jc w:val="center"/>
              <w:rPr>
                <w:sz w:val="24"/>
                <w:szCs w:val="24"/>
              </w:rPr>
            </w:pPr>
            <w:r>
              <w:rPr>
                <w:rFonts w:hint="eastAsia"/>
                <w:sz w:val="24"/>
                <w:szCs w:val="24"/>
              </w:rPr>
              <w:t>第二专业/辅修专业</w:t>
            </w:r>
          </w:p>
        </w:tc>
        <w:tc>
          <w:tcPr>
            <w:tcW w:w="2783" w:type="dxa"/>
            <w:gridSpan w:val="5"/>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953" w:type="dxa"/>
            <w:shd w:val="clear" w:color="auto" w:fill="auto"/>
            <w:vAlign w:val="center"/>
          </w:tcPr>
          <w:p>
            <w:pPr>
              <w:jc w:val="center"/>
              <w:rPr>
                <w:sz w:val="24"/>
                <w:szCs w:val="24"/>
              </w:rPr>
            </w:pPr>
            <w:r>
              <w:rPr>
                <w:rFonts w:hint="eastAsia"/>
                <w:sz w:val="24"/>
                <w:szCs w:val="24"/>
              </w:rPr>
              <w:t>毕业</w:t>
            </w:r>
          </w:p>
          <w:p>
            <w:pPr>
              <w:jc w:val="center"/>
              <w:rPr>
                <w:sz w:val="24"/>
                <w:szCs w:val="24"/>
              </w:rPr>
            </w:pPr>
            <w:r>
              <w:rPr>
                <w:rFonts w:hint="eastAsia"/>
                <w:sz w:val="24"/>
                <w:szCs w:val="24"/>
              </w:rPr>
              <w:t>学校</w:t>
            </w:r>
          </w:p>
        </w:tc>
        <w:tc>
          <w:tcPr>
            <w:tcW w:w="4177" w:type="dxa"/>
            <w:gridSpan w:val="18"/>
            <w:shd w:val="clear" w:color="auto" w:fill="auto"/>
            <w:vAlign w:val="center"/>
          </w:tcPr>
          <w:p>
            <w:pPr>
              <w:jc w:val="center"/>
              <w:rPr>
                <w:sz w:val="24"/>
                <w:szCs w:val="24"/>
              </w:rPr>
            </w:pPr>
          </w:p>
        </w:tc>
        <w:tc>
          <w:tcPr>
            <w:tcW w:w="1456" w:type="dxa"/>
            <w:gridSpan w:val="5"/>
            <w:shd w:val="clear" w:color="auto" w:fill="auto"/>
            <w:vAlign w:val="center"/>
          </w:tcPr>
          <w:p>
            <w:pPr>
              <w:jc w:val="center"/>
              <w:rPr>
                <w:sz w:val="24"/>
                <w:szCs w:val="24"/>
              </w:rPr>
            </w:pPr>
            <w:r>
              <w:rPr>
                <w:rFonts w:hint="eastAsia"/>
                <w:sz w:val="24"/>
                <w:szCs w:val="24"/>
              </w:rPr>
              <w:t>毕业时间</w:t>
            </w:r>
          </w:p>
        </w:tc>
        <w:tc>
          <w:tcPr>
            <w:tcW w:w="2783" w:type="dxa"/>
            <w:gridSpan w:val="5"/>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rPr>
                <w:sz w:val="24"/>
                <w:szCs w:val="24"/>
              </w:rPr>
            </w:pPr>
            <w:r>
              <w:rPr>
                <w:rFonts w:hint="eastAsia"/>
                <w:sz w:val="24"/>
                <w:szCs w:val="24"/>
              </w:rPr>
              <w:t>外语</w:t>
            </w:r>
          </w:p>
          <w:p>
            <w:pPr>
              <w:jc w:val="center"/>
              <w:rPr>
                <w:sz w:val="24"/>
                <w:szCs w:val="24"/>
              </w:rPr>
            </w:pPr>
            <w:r>
              <w:rPr>
                <w:rFonts w:hint="eastAsia"/>
                <w:sz w:val="24"/>
                <w:szCs w:val="24"/>
              </w:rPr>
              <w:t>水平：</w:t>
            </w:r>
          </w:p>
        </w:tc>
        <w:tc>
          <w:tcPr>
            <w:tcW w:w="8416" w:type="dxa"/>
            <w:gridSpan w:val="28"/>
            <w:shd w:val="clear" w:color="auto" w:fill="auto"/>
            <w:vAlign w:val="center"/>
          </w:tcPr>
          <w:p>
            <w:pPr>
              <w:ind w:firstLine="3240" w:firstLineChars="1350"/>
              <w:rPr>
                <w:sz w:val="24"/>
                <w:szCs w:val="24"/>
              </w:rPr>
            </w:pPr>
            <w:r>
              <w:rPr>
                <w:rFonts w:hint="eastAsia"/>
                <w:sz w:val="24"/>
                <w:szCs w:val="24"/>
              </w:rPr>
              <w:t>语种：</w:t>
            </w:r>
          </w:p>
          <w:p>
            <w:pPr>
              <w:jc w:val="center"/>
              <w:rPr>
                <w:sz w:val="24"/>
                <w:szCs w:val="24"/>
              </w:rPr>
            </w:pPr>
            <w:r>
              <w:rPr>
                <w:rFonts w:hint="eastAsia"/>
                <w:sz w:val="24"/>
                <w:szCs w:val="24"/>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rPr>
                <w:sz w:val="24"/>
                <w:szCs w:val="24"/>
              </w:rPr>
            </w:pPr>
            <w:r>
              <w:rPr>
                <w:rFonts w:hint="eastAsia"/>
                <w:sz w:val="24"/>
                <w:szCs w:val="24"/>
              </w:rPr>
              <w:t>计算机</w:t>
            </w:r>
          </w:p>
          <w:p>
            <w:pPr>
              <w:jc w:val="center"/>
              <w:rPr>
                <w:sz w:val="24"/>
                <w:szCs w:val="24"/>
              </w:rPr>
            </w:pPr>
            <w:r>
              <w:rPr>
                <w:rFonts w:hint="eastAsia"/>
                <w:sz w:val="24"/>
                <w:szCs w:val="24"/>
              </w:rPr>
              <w:t>水平</w:t>
            </w:r>
          </w:p>
        </w:tc>
        <w:tc>
          <w:tcPr>
            <w:tcW w:w="8416" w:type="dxa"/>
            <w:gridSpan w:val="28"/>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rPr>
                <w:sz w:val="24"/>
                <w:szCs w:val="24"/>
              </w:rPr>
            </w:pPr>
            <w:r>
              <w:rPr>
                <w:rFonts w:hint="eastAsia"/>
                <w:sz w:val="24"/>
                <w:szCs w:val="24"/>
              </w:rPr>
              <w:t>E-mail</w:t>
            </w:r>
          </w:p>
        </w:tc>
        <w:tc>
          <w:tcPr>
            <w:tcW w:w="8416" w:type="dxa"/>
            <w:gridSpan w:val="28"/>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rPr>
                <w:sz w:val="24"/>
                <w:szCs w:val="24"/>
              </w:rPr>
            </w:pPr>
            <w:r>
              <w:rPr>
                <w:rFonts w:hint="eastAsia"/>
                <w:sz w:val="24"/>
                <w:szCs w:val="24"/>
              </w:rPr>
              <w:t>家庭通信地址</w:t>
            </w:r>
          </w:p>
        </w:tc>
        <w:tc>
          <w:tcPr>
            <w:tcW w:w="8416" w:type="dxa"/>
            <w:gridSpan w:val="28"/>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rPr>
                <w:sz w:val="24"/>
                <w:szCs w:val="24"/>
              </w:rPr>
            </w:pPr>
            <w:r>
              <w:rPr>
                <w:rFonts w:hint="eastAsia"/>
                <w:sz w:val="24"/>
                <w:szCs w:val="24"/>
              </w:rPr>
              <w:t>电话</w:t>
            </w:r>
          </w:p>
          <w:p>
            <w:pPr>
              <w:rPr>
                <w:sz w:val="24"/>
                <w:szCs w:val="24"/>
              </w:rPr>
            </w:pPr>
            <w:r>
              <w:rPr>
                <w:rFonts w:hint="eastAsia"/>
                <w:sz w:val="24"/>
                <w:szCs w:val="24"/>
              </w:rPr>
              <w:t>家庭</w:t>
            </w:r>
          </w:p>
        </w:tc>
        <w:tc>
          <w:tcPr>
            <w:tcW w:w="2979" w:type="dxa"/>
            <w:gridSpan w:val="12"/>
            <w:shd w:val="clear" w:color="auto" w:fill="auto"/>
            <w:vAlign w:val="center"/>
          </w:tcPr>
          <w:p>
            <w:pPr>
              <w:jc w:val="center"/>
              <w:rPr>
                <w:sz w:val="24"/>
                <w:szCs w:val="24"/>
              </w:rPr>
            </w:pPr>
          </w:p>
        </w:tc>
        <w:tc>
          <w:tcPr>
            <w:tcW w:w="852" w:type="dxa"/>
            <w:gridSpan w:val="4"/>
            <w:shd w:val="clear" w:color="auto" w:fill="auto"/>
            <w:vAlign w:val="center"/>
          </w:tcPr>
          <w:p>
            <w:pPr>
              <w:rPr>
                <w:sz w:val="24"/>
                <w:szCs w:val="24"/>
              </w:rPr>
            </w:pPr>
            <w:r>
              <w:rPr>
                <w:rFonts w:hint="eastAsia"/>
                <w:sz w:val="24"/>
                <w:szCs w:val="24"/>
              </w:rPr>
              <w:t>手机</w:t>
            </w:r>
          </w:p>
        </w:tc>
        <w:tc>
          <w:tcPr>
            <w:tcW w:w="4585" w:type="dxa"/>
            <w:gridSpan w:val="12"/>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9" w:type="dxa"/>
            <w:gridSpan w:val="29"/>
            <w:shd w:val="clear" w:color="auto" w:fill="D8D8D8" w:themeFill="background1" w:themeFillShade="D9"/>
            <w:vAlign w:val="center"/>
          </w:tcPr>
          <w:p>
            <w:pPr>
              <w:jc w:val="center"/>
              <w:rPr>
                <w:sz w:val="24"/>
                <w:szCs w:val="24"/>
              </w:rPr>
            </w:pPr>
            <w:r>
              <w:rPr>
                <w:rFonts w:hint="eastAsia"/>
                <w:sz w:val="24"/>
                <w:szCs w:val="24"/>
              </w:rPr>
              <w:t>主要教育经历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gridSpan w:val="5"/>
            <w:shd w:val="clear" w:color="auto" w:fill="auto"/>
            <w:vAlign w:val="center"/>
          </w:tcPr>
          <w:p>
            <w:pPr>
              <w:jc w:val="center"/>
              <w:rPr>
                <w:sz w:val="24"/>
                <w:szCs w:val="24"/>
              </w:rPr>
            </w:pPr>
            <w:r>
              <w:rPr>
                <w:rFonts w:hint="eastAsia"/>
                <w:sz w:val="24"/>
                <w:szCs w:val="24"/>
              </w:rPr>
              <w:t>教育时间</w:t>
            </w:r>
          </w:p>
        </w:tc>
        <w:tc>
          <w:tcPr>
            <w:tcW w:w="2691" w:type="dxa"/>
            <w:gridSpan w:val="12"/>
            <w:shd w:val="clear" w:color="auto" w:fill="auto"/>
            <w:vAlign w:val="center"/>
          </w:tcPr>
          <w:p>
            <w:pPr>
              <w:jc w:val="center"/>
              <w:rPr>
                <w:sz w:val="24"/>
                <w:szCs w:val="24"/>
              </w:rPr>
            </w:pPr>
            <w:r>
              <w:rPr>
                <w:rFonts w:hint="eastAsia"/>
                <w:sz w:val="24"/>
                <w:szCs w:val="24"/>
              </w:rPr>
              <w:t>院校名称</w:t>
            </w:r>
          </w:p>
        </w:tc>
        <w:tc>
          <w:tcPr>
            <w:tcW w:w="1802" w:type="dxa"/>
            <w:gridSpan w:val="7"/>
            <w:shd w:val="clear" w:color="auto" w:fill="auto"/>
            <w:vAlign w:val="center"/>
          </w:tcPr>
          <w:p>
            <w:pPr>
              <w:jc w:val="center"/>
              <w:rPr>
                <w:sz w:val="24"/>
                <w:szCs w:val="24"/>
              </w:rPr>
            </w:pPr>
            <w:r>
              <w:rPr>
                <w:rFonts w:hint="eastAsia"/>
                <w:sz w:val="24"/>
                <w:szCs w:val="24"/>
              </w:rPr>
              <w:t>学历</w:t>
            </w:r>
          </w:p>
        </w:tc>
        <w:tc>
          <w:tcPr>
            <w:tcW w:w="2783" w:type="dxa"/>
            <w:gridSpan w:val="5"/>
            <w:shd w:val="clear" w:color="auto" w:fill="auto"/>
            <w:vAlign w:val="center"/>
          </w:tcPr>
          <w:p>
            <w:pPr>
              <w:jc w:val="center"/>
              <w:rPr>
                <w:sz w:val="24"/>
                <w:szCs w:val="24"/>
              </w:rPr>
            </w:pPr>
            <w:r>
              <w:rPr>
                <w:rFonts w:hint="eastAsia"/>
                <w:sz w:val="24"/>
                <w:szCs w:val="24"/>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gridSpan w:val="5"/>
            <w:shd w:val="clear" w:color="auto" w:fill="auto"/>
            <w:vAlign w:val="center"/>
          </w:tcPr>
          <w:p>
            <w:pPr>
              <w:jc w:val="center"/>
              <w:rPr>
                <w:sz w:val="24"/>
                <w:szCs w:val="24"/>
              </w:rPr>
            </w:pPr>
          </w:p>
          <w:p>
            <w:pPr>
              <w:jc w:val="center"/>
              <w:rPr>
                <w:sz w:val="24"/>
                <w:szCs w:val="24"/>
              </w:rPr>
            </w:pPr>
            <w:r>
              <w:rPr>
                <w:rFonts w:hint="eastAsia"/>
                <w:sz w:val="24"/>
                <w:szCs w:val="24"/>
              </w:rPr>
              <w:t>年   月~   年   月</w:t>
            </w:r>
          </w:p>
        </w:tc>
        <w:tc>
          <w:tcPr>
            <w:tcW w:w="2691" w:type="dxa"/>
            <w:gridSpan w:val="12"/>
            <w:shd w:val="clear" w:color="auto" w:fill="auto"/>
            <w:vAlign w:val="center"/>
          </w:tcPr>
          <w:p>
            <w:pPr>
              <w:jc w:val="center"/>
              <w:rPr>
                <w:sz w:val="24"/>
                <w:szCs w:val="24"/>
              </w:rPr>
            </w:pPr>
          </w:p>
        </w:tc>
        <w:tc>
          <w:tcPr>
            <w:tcW w:w="1802" w:type="dxa"/>
            <w:gridSpan w:val="7"/>
            <w:shd w:val="clear" w:color="auto" w:fill="auto"/>
            <w:vAlign w:val="center"/>
          </w:tcPr>
          <w:p>
            <w:pPr>
              <w:jc w:val="center"/>
              <w:rPr>
                <w:sz w:val="24"/>
                <w:szCs w:val="24"/>
              </w:rPr>
            </w:pPr>
          </w:p>
        </w:tc>
        <w:tc>
          <w:tcPr>
            <w:tcW w:w="2783" w:type="dxa"/>
            <w:gridSpan w:val="5"/>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gridSpan w:val="5"/>
            <w:shd w:val="clear" w:color="auto" w:fill="auto"/>
            <w:vAlign w:val="center"/>
          </w:tcPr>
          <w:p>
            <w:pPr>
              <w:jc w:val="center"/>
              <w:rPr>
                <w:sz w:val="24"/>
                <w:szCs w:val="24"/>
              </w:rPr>
            </w:pPr>
          </w:p>
          <w:p>
            <w:pPr>
              <w:jc w:val="center"/>
              <w:rPr>
                <w:sz w:val="24"/>
                <w:szCs w:val="24"/>
              </w:rPr>
            </w:pPr>
            <w:r>
              <w:rPr>
                <w:rFonts w:hint="eastAsia"/>
                <w:sz w:val="24"/>
                <w:szCs w:val="24"/>
              </w:rPr>
              <w:t>年   月~   年   月</w:t>
            </w:r>
          </w:p>
        </w:tc>
        <w:tc>
          <w:tcPr>
            <w:tcW w:w="2691" w:type="dxa"/>
            <w:gridSpan w:val="12"/>
            <w:shd w:val="clear" w:color="auto" w:fill="auto"/>
            <w:vAlign w:val="center"/>
          </w:tcPr>
          <w:p>
            <w:pPr>
              <w:jc w:val="center"/>
              <w:rPr>
                <w:sz w:val="24"/>
                <w:szCs w:val="24"/>
              </w:rPr>
            </w:pPr>
          </w:p>
        </w:tc>
        <w:tc>
          <w:tcPr>
            <w:tcW w:w="1802" w:type="dxa"/>
            <w:gridSpan w:val="7"/>
            <w:shd w:val="clear" w:color="auto" w:fill="auto"/>
            <w:vAlign w:val="center"/>
          </w:tcPr>
          <w:p>
            <w:pPr>
              <w:jc w:val="center"/>
              <w:rPr>
                <w:sz w:val="24"/>
                <w:szCs w:val="24"/>
              </w:rPr>
            </w:pPr>
          </w:p>
        </w:tc>
        <w:tc>
          <w:tcPr>
            <w:tcW w:w="2783" w:type="dxa"/>
            <w:gridSpan w:val="5"/>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9" w:type="dxa"/>
            <w:gridSpan w:val="29"/>
            <w:shd w:val="clear" w:color="auto" w:fill="D8D8D8" w:themeFill="background1" w:themeFillShade="D9"/>
            <w:vAlign w:val="center"/>
          </w:tcPr>
          <w:p>
            <w:pPr>
              <w:jc w:val="center"/>
              <w:rPr>
                <w:sz w:val="24"/>
                <w:szCs w:val="24"/>
              </w:rPr>
            </w:pPr>
            <w:r>
              <w:rPr>
                <w:rFonts w:hint="eastAsia"/>
                <w:sz w:val="24"/>
                <w:szCs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93" w:type="dxa"/>
            <w:gridSpan w:val="5"/>
            <w:shd w:val="clear" w:color="auto" w:fill="auto"/>
            <w:vAlign w:val="center"/>
          </w:tcPr>
          <w:p>
            <w:pPr>
              <w:jc w:val="center"/>
              <w:rPr>
                <w:sz w:val="24"/>
                <w:szCs w:val="24"/>
              </w:rPr>
            </w:pPr>
            <w:r>
              <w:rPr>
                <w:rFonts w:hint="eastAsia"/>
                <w:sz w:val="24"/>
                <w:szCs w:val="24"/>
              </w:rPr>
              <w:t>工作时间</w:t>
            </w:r>
          </w:p>
        </w:tc>
        <w:tc>
          <w:tcPr>
            <w:tcW w:w="3037" w:type="dxa"/>
            <w:gridSpan w:val="14"/>
            <w:shd w:val="clear" w:color="auto" w:fill="auto"/>
            <w:vAlign w:val="center"/>
          </w:tcPr>
          <w:p>
            <w:pPr>
              <w:jc w:val="center"/>
              <w:rPr>
                <w:sz w:val="24"/>
                <w:szCs w:val="24"/>
              </w:rPr>
            </w:pPr>
            <w:r>
              <w:rPr>
                <w:rFonts w:hint="eastAsia"/>
                <w:sz w:val="24"/>
                <w:szCs w:val="24"/>
              </w:rPr>
              <w:t>工作单位</w:t>
            </w:r>
          </w:p>
        </w:tc>
        <w:tc>
          <w:tcPr>
            <w:tcW w:w="1456" w:type="dxa"/>
            <w:gridSpan w:val="5"/>
            <w:shd w:val="clear" w:color="auto" w:fill="auto"/>
            <w:vAlign w:val="center"/>
          </w:tcPr>
          <w:p>
            <w:pPr>
              <w:jc w:val="center"/>
              <w:rPr>
                <w:sz w:val="24"/>
                <w:szCs w:val="24"/>
              </w:rPr>
            </w:pPr>
            <w:r>
              <w:rPr>
                <w:rFonts w:hint="eastAsia"/>
                <w:sz w:val="24"/>
                <w:szCs w:val="24"/>
              </w:rPr>
              <w:t>职位</w:t>
            </w:r>
          </w:p>
        </w:tc>
        <w:tc>
          <w:tcPr>
            <w:tcW w:w="2783" w:type="dxa"/>
            <w:gridSpan w:val="5"/>
            <w:shd w:val="clear" w:color="auto" w:fill="auto"/>
            <w:vAlign w:val="center"/>
          </w:tcPr>
          <w:p>
            <w:pPr>
              <w:jc w:val="center"/>
              <w:rPr>
                <w:sz w:val="24"/>
                <w:szCs w:val="24"/>
              </w:rPr>
            </w:pPr>
            <w:r>
              <w:rPr>
                <w:rFonts w:hint="eastAsia"/>
                <w:sz w:val="24"/>
                <w:szCs w:val="24"/>
              </w:rPr>
              <w:t>证明人姓名/电话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gridSpan w:val="5"/>
            <w:shd w:val="clear" w:color="auto" w:fill="auto"/>
            <w:vAlign w:val="center"/>
          </w:tcPr>
          <w:p>
            <w:pPr>
              <w:jc w:val="both"/>
              <w:rPr>
                <w:sz w:val="24"/>
                <w:szCs w:val="24"/>
              </w:rPr>
            </w:pPr>
            <w:r>
              <w:rPr>
                <w:rFonts w:hint="eastAsia"/>
                <w:sz w:val="24"/>
                <w:szCs w:val="24"/>
              </w:rPr>
              <w:t>年 月~ 年   月</w:t>
            </w:r>
          </w:p>
        </w:tc>
        <w:tc>
          <w:tcPr>
            <w:tcW w:w="3037" w:type="dxa"/>
            <w:gridSpan w:val="14"/>
            <w:shd w:val="clear" w:color="auto" w:fill="auto"/>
            <w:vAlign w:val="center"/>
          </w:tcPr>
          <w:p>
            <w:pPr>
              <w:jc w:val="center"/>
              <w:rPr>
                <w:sz w:val="24"/>
                <w:szCs w:val="24"/>
              </w:rPr>
            </w:pPr>
          </w:p>
        </w:tc>
        <w:tc>
          <w:tcPr>
            <w:tcW w:w="1456" w:type="dxa"/>
            <w:gridSpan w:val="5"/>
            <w:shd w:val="clear" w:color="auto" w:fill="auto"/>
            <w:vAlign w:val="center"/>
          </w:tcPr>
          <w:p>
            <w:pPr>
              <w:jc w:val="center"/>
              <w:rPr>
                <w:sz w:val="24"/>
                <w:szCs w:val="24"/>
              </w:rPr>
            </w:pPr>
          </w:p>
        </w:tc>
        <w:tc>
          <w:tcPr>
            <w:tcW w:w="2783" w:type="dxa"/>
            <w:gridSpan w:val="5"/>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gridSpan w:val="5"/>
            <w:tcBorders>
              <w:bottom w:val="single" w:color="auto" w:sz="4" w:space="0"/>
            </w:tcBorders>
            <w:shd w:val="clear" w:color="auto" w:fill="auto"/>
            <w:vAlign w:val="center"/>
          </w:tcPr>
          <w:p>
            <w:pPr>
              <w:jc w:val="both"/>
              <w:rPr>
                <w:sz w:val="24"/>
                <w:szCs w:val="24"/>
              </w:rPr>
            </w:pPr>
            <w:r>
              <w:rPr>
                <w:rFonts w:hint="eastAsia"/>
                <w:sz w:val="24"/>
                <w:szCs w:val="24"/>
              </w:rPr>
              <w:t>年 月~  年   月</w:t>
            </w:r>
          </w:p>
        </w:tc>
        <w:tc>
          <w:tcPr>
            <w:tcW w:w="3037" w:type="dxa"/>
            <w:gridSpan w:val="14"/>
            <w:tcBorders>
              <w:bottom w:val="single" w:color="auto" w:sz="4" w:space="0"/>
            </w:tcBorders>
            <w:shd w:val="clear" w:color="auto" w:fill="auto"/>
            <w:vAlign w:val="center"/>
          </w:tcPr>
          <w:p>
            <w:pPr>
              <w:jc w:val="center"/>
              <w:rPr>
                <w:sz w:val="24"/>
                <w:szCs w:val="24"/>
              </w:rPr>
            </w:pPr>
          </w:p>
        </w:tc>
        <w:tc>
          <w:tcPr>
            <w:tcW w:w="1456" w:type="dxa"/>
            <w:gridSpan w:val="5"/>
            <w:tcBorders>
              <w:bottom w:val="single" w:color="auto" w:sz="4" w:space="0"/>
            </w:tcBorders>
            <w:shd w:val="clear" w:color="auto" w:fill="auto"/>
            <w:vAlign w:val="center"/>
          </w:tcPr>
          <w:p>
            <w:pPr>
              <w:jc w:val="center"/>
              <w:rPr>
                <w:sz w:val="24"/>
                <w:szCs w:val="24"/>
              </w:rPr>
            </w:pPr>
          </w:p>
        </w:tc>
        <w:tc>
          <w:tcPr>
            <w:tcW w:w="2783" w:type="dxa"/>
            <w:gridSpan w:val="5"/>
            <w:tcBorders>
              <w:bottom w:val="single" w:color="auto" w:sz="4" w:space="0"/>
            </w:tcBorders>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9" w:type="dxa"/>
            <w:gridSpan w:val="29"/>
            <w:shd w:val="clear" w:color="auto" w:fill="D8D8D8" w:themeFill="background1" w:themeFillShade="D9"/>
            <w:vAlign w:val="center"/>
          </w:tcPr>
          <w:p>
            <w:pPr>
              <w:jc w:val="center"/>
              <w:rPr>
                <w:sz w:val="24"/>
                <w:szCs w:val="24"/>
              </w:rPr>
            </w:pPr>
            <w:r>
              <w:rPr>
                <w:rFonts w:hint="eastAsia"/>
                <w:sz w:val="24"/>
                <w:szCs w:val="24"/>
              </w:rPr>
              <w:t>主要培训经历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gridSpan w:val="5"/>
            <w:shd w:val="clear" w:color="auto" w:fill="auto"/>
            <w:vAlign w:val="center"/>
          </w:tcPr>
          <w:p>
            <w:pPr>
              <w:jc w:val="center"/>
              <w:rPr>
                <w:sz w:val="24"/>
                <w:szCs w:val="24"/>
              </w:rPr>
            </w:pPr>
            <w:r>
              <w:rPr>
                <w:rFonts w:hint="eastAsia"/>
                <w:sz w:val="24"/>
                <w:szCs w:val="24"/>
              </w:rPr>
              <w:t>培训时间</w:t>
            </w:r>
          </w:p>
        </w:tc>
        <w:tc>
          <w:tcPr>
            <w:tcW w:w="4493" w:type="dxa"/>
            <w:gridSpan w:val="19"/>
            <w:shd w:val="clear" w:color="auto" w:fill="auto"/>
            <w:vAlign w:val="center"/>
          </w:tcPr>
          <w:p>
            <w:pPr>
              <w:jc w:val="center"/>
              <w:rPr>
                <w:sz w:val="24"/>
                <w:szCs w:val="24"/>
              </w:rPr>
            </w:pPr>
            <w:r>
              <w:rPr>
                <w:rFonts w:hint="eastAsia"/>
                <w:sz w:val="24"/>
                <w:szCs w:val="24"/>
              </w:rPr>
              <w:t>内容</w:t>
            </w:r>
          </w:p>
        </w:tc>
        <w:tc>
          <w:tcPr>
            <w:tcW w:w="2783" w:type="dxa"/>
            <w:gridSpan w:val="5"/>
            <w:shd w:val="clear" w:color="auto" w:fill="auto"/>
            <w:vAlign w:val="center"/>
          </w:tcPr>
          <w:p>
            <w:pPr>
              <w:jc w:val="center"/>
              <w:rPr>
                <w:sz w:val="24"/>
                <w:szCs w:val="24"/>
              </w:rPr>
            </w:pPr>
            <w:r>
              <w:rPr>
                <w:rFonts w:hint="eastAsia"/>
                <w:sz w:val="24"/>
                <w:szCs w:val="24"/>
              </w:rPr>
              <w:t>培训组织机构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gridSpan w:val="5"/>
            <w:shd w:val="clear" w:color="auto" w:fill="auto"/>
            <w:vAlign w:val="center"/>
          </w:tcPr>
          <w:p>
            <w:pPr>
              <w:jc w:val="center"/>
              <w:rPr>
                <w:sz w:val="24"/>
                <w:szCs w:val="24"/>
              </w:rPr>
            </w:pPr>
            <w:r>
              <w:rPr>
                <w:rFonts w:hint="eastAsia"/>
                <w:sz w:val="24"/>
                <w:szCs w:val="24"/>
              </w:rPr>
              <w:t>年   月~</w:t>
            </w:r>
          </w:p>
          <w:p>
            <w:pPr>
              <w:ind w:firstLine="480" w:firstLineChars="200"/>
              <w:rPr>
                <w:sz w:val="24"/>
                <w:szCs w:val="24"/>
              </w:rPr>
            </w:pPr>
            <w:r>
              <w:rPr>
                <w:rFonts w:hint="eastAsia"/>
                <w:sz w:val="24"/>
                <w:szCs w:val="24"/>
              </w:rPr>
              <w:t>年   月</w:t>
            </w:r>
          </w:p>
        </w:tc>
        <w:tc>
          <w:tcPr>
            <w:tcW w:w="4493" w:type="dxa"/>
            <w:gridSpan w:val="19"/>
            <w:shd w:val="clear" w:color="auto" w:fill="auto"/>
            <w:vAlign w:val="center"/>
          </w:tcPr>
          <w:p>
            <w:pPr>
              <w:jc w:val="center"/>
              <w:rPr>
                <w:sz w:val="24"/>
                <w:szCs w:val="24"/>
              </w:rPr>
            </w:pPr>
          </w:p>
        </w:tc>
        <w:tc>
          <w:tcPr>
            <w:tcW w:w="2783" w:type="dxa"/>
            <w:gridSpan w:val="5"/>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gridSpan w:val="5"/>
            <w:shd w:val="clear" w:color="auto" w:fill="auto"/>
            <w:vAlign w:val="center"/>
          </w:tcPr>
          <w:p>
            <w:pPr>
              <w:jc w:val="center"/>
              <w:rPr>
                <w:sz w:val="24"/>
                <w:szCs w:val="24"/>
              </w:rPr>
            </w:pPr>
            <w:r>
              <w:rPr>
                <w:rFonts w:hint="eastAsia"/>
                <w:sz w:val="24"/>
                <w:szCs w:val="24"/>
              </w:rPr>
              <w:t>年   月~</w:t>
            </w:r>
          </w:p>
          <w:p>
            <w:pPr>
              <w:jc w:val="center"/>
              <w:rPr>
                <w:sz w:val="24"/>
                <w:szCs w:val="24"/>
              </w:rPr>
            </w:pPr>
            <w:r>
              <w:rPr>
                <w:rFonts w:hint="eastAsia"/>
                <w:sz w:val="24"/>
                <w:szCs w:val="24"/>
              </w:rPr>
              <w:t>年   月</w:t>
            </w:r>
          </w:p>
        </w:tc>
        <w:tc>
          <w:tcPr>
            <w:tcW w:w="4493" w:type="dxa"/>
            <w:gridSpan w:val="19"/>
            <w:shd w:val="clear" w:color="auto" w:fill="auto"/>
            <w:vAlign w:val="center"/>
          </w:tcPr>
          <w:p>
            <w:pPr>
              <w:jc w:val="center"/>
              <w:rPr>
                <w:sz w:val="24"/>
                <w:szCs w:val="24"/>
              </w:rPr>
            </w:pPr>
          </w:p>
        </w:tc>
        <w:tc>
          <w:tcPr>
            <w:tcW w:w="2783" w:type="dxa"/>
            <w:gridSpan w:val="5"/>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9" w:type="dxa"/>
            <w:gridSpan w:val="29"/>
            <w:shd w:val="clear" w:color="auto" w:fill="D8D8D8" w:themeFill="background1" w:themeFillShade="D9"/>
            <w:vAlign w:val="center"/>
          </w:tcPr>
          <w:p>
            <w:pPr>
              <w:jc w:val="center"/>
              <w:rPr>
                <w:sz w:val="24"/>
                <w:szCs w:val="24"/>
              </w:rPr>
            </w:pPr>
            <w:r>
              <w:rPr>
                <w:rFonts w:hint="eastAsia"/>
                <w:sz w:val="24"/>
                <w:szCs w:val="24"/>
              </w:rPr>
              <w:t>主要家庭成员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5" w:type="dxa"/>
            <w:gridSpan w:val="4"/>
            <w:shd w:val="clear" w:color="auto" w:fill="auto"/>
            <w:vAlign w:val="center"/>
          </w:tcPr>
          <w:p>
            <w:pPr>
              <w:jc w:val="center"/>
              <w:rPr>
                <w:sz w:val="24"/>
                <w:szCs w:val="24"/>
              </w:rPr>
            </w:pPr>
            <w:r>
              <w:rPr>
                <w:rFonts w:hint="eastAsia"/>
                <w:sz w:val="24"/>
                <w:szCs w:val="24"/>
              </w:rPr>
              <w:t>姓名</w:t>
            </w:r>
          </w:p>
        </w:tc>
        <w:tc>
          <w:tcPr>
            <w:tcW w:w="1987" w:type="dxa"/>
            <w:gridSpan w:val="9"/>
            <w:shd w:val="clear" w:color="auto" w:fill="auto"/>
            <w:vAlign w:val="center"/>
          </w:tcPr>
          <w:p>
            <w:pPr>
              <w:jc w:val="center"/>
              <w:rPr>
                <w:sz w:val="24"/>
                <w:szCs w:val="24"/>
              </w:rPr>
            </w:pPr>
            <w:r>
              <w:rPr>
                <w:rFonts w:hint="eastAsia"/>
                <w:sz w:val="24"/>
                <w:szCs w:val="24"/>
              </w:rPr>
              <w:t>关系</w:t>
            </w:r>
          </w:p>
        </w:tc>
        <w:tc>
          <w:tcPr>
            <w:tcW w:w="2654" w:type="dxa"/>
            <w:gridSpan w:val="11"/>
            <w:shd w:val="clear" w:color="auto" w:fill="auto"/>
            <w:vAlign w:val="center"/>
          </w:tcPr>
          <w:p>
            <w:pPr>
              <w:jc w:val="center"/>
              <w:rPr>
                <w:sz w:val="24"/>
                <w:szCs w:val="24"/>
              </w:rPr>
            </w:pPr>
            <w:r>
              <w:rPr>
                <w:rFonts w:hint="eastAsia"/>
                <w:sz w:val="24"/>
                <w:szCs w:val="24"/>
              </w:rPr>
              <w:t>工作单位</w:t>
            </w:r>
          </w:p>
        </w:tc>
        <w:tc>
          <w:tcPr>
            <w:tcW w:w="2783" w:type="dxa"/>
            <w:gridSpan w:val="5"/>
            <w:shd w:val="clear" w:color="auto" w:fill="auto"/>
            <w:vAlign w:val="center"/>
          </w:tcPr>
          <w:p>
            <w:pPr>
              <w:jc w:val="center"/>
              <w:rPr>
                <w:sz w:val="24"/>
                <w:szCs w:val="24"/>
              </w:rPr>
            </w:pPr>
            <w:r>
              <w:rPr>
                <w:rFonts w:hint="eastAsia"/>
                <w:sz w:val="24"/>
                <w:szCs w:val="24"/>
              </w:rPr>
              <w:t>所任岗位及职务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945" w:type="dxa"/>
            <w:gridSpan w:val="4"/>
            <w:shd w:val="clear" w:color="auto" w:fill="auto"/>
            <w:vAlign w:val="center"/>
          </w:tcPr>
          <w:p>
            <w:pPr>
              <w:jc w:val="center"/>
              <w:rPr>
                <w:sz w:val="24"/>
                <w:szCs w:val="24"/>
              </w:rPr>
            </w:pPr>
          </w:p>
          <w:p>
            <w:pPr>
              <w:jc w:val="center"/>
              <w:rPr>
                <w:sz w:val="24"/>
                <w:szCs w:val="24"/>
              </w:rPr>
            </w:pPr>
          </w:p>
        </w:tc>
        <w:tc>
          <w:tcPr>
            <w:tcW w:w="1987" w:type="dxa"/>
            <w:gridSpan w:val="9"/>
            <w:shd w:val="clear" w:color="auto" w:fill="auto"/>
            <w:vAlign w:val="center"/>
          </w:tcPr>
          <w:p>
            <w:pPr>
              <w:jc w:val="center"/>
              <w:rPr>
                <w:sz w:val="24"/>
                <w:szCs w:val="24"/>
              </w:rPr>
            </w:pPr>
          </w:p>
        </w:tc>
        <w:tc>
          <w:tcPr>
            <w:tcW w:w="2654" w:type="dxa"/>
            <w:gridSpan w:val="11"/>
            <w:shd w:val="clear" w:color="auto" w:fill="auto"/>
            <w:vAlign w:val="center"/>
          </w:tcPr>
          <w:p>
            <w:pPr>
              <w:jc w:val="center"/>
              <w:rPr>
                <w:sz w:val="24"/>
                <w:szCs w:val="24"/>
              </w:rPr>
            </w:pPr>
          </w:p>
        </w:tc>
        <w:tc>
          <w:tcPr>
            <w:tcW w:w="2783" w:type="dxa"/>
            <w:gridSpan w:val="5"/>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5" w:type="dxa"/>
            <w:gridSpan w:val="4"/>
            <w:shd w:val="clear" w:color="auto" w:fill="auto"/>
            <w:vAlign w:val="center"/>
          </w:tcPr>
          <w:p>
            <w:pPr>
              <w:jc w:val="center"/>
              <w:rPr>
                <w:sz w:val="24"/>
                <w:szCs w:val="24"/>
              </w:rPr>
            </w:pPr>
          </w:p>
          <w:p>
            <w:pPr>
              <w:jc w:val="center"/>
              <w:rPr>
                <w:sz w:val="24"/>
                <w:szCs w:val="24"/>
              </w:rPr>
            </w:pPr>
          </w:p>
        </w:tc>
        <w:tc>
          <w:tcPr>
            <w:tcW w:w="1987" w:type="dxa"/>
            <w:gridSpan w:val="9"/>
            <w:shd w:val="clear" w:color="auto" w:fill="auto"/>
            <w:vAlign w:val="center"/>
          </w:tcPr>
          <w:p>
            <w:pPr>
              <w:jc w:val="center"/>
              <w:rPr>
                <w:sz w:val="24"/>
                <w:szCs w:val="24"/>
              </w:rPr>
            </w:pPr>
          </w:p>
        </w:tc>
        <w:tc>
          <w:tcPr>
            <w:tcW w:w="2654" w:type="dxa"/>
            <w:gridSpan w:val="11"/>
            <w:shd w:val="clear" w:color="auto" w:fill="auto"/>
            <w:vAlign w:val="center"/>
          </w:tcPr>
          <w:p>
            <w:pPr>
              <w:jc w:val="center"/>
              <w:rPr>
                <w:sz w:val="24"/>
                <w:szCs w:val="24"/>
              </w:rPr>
            </w:pPr>
          </w:p>
        </w:tc>
        <w:tc>
          <w:tcPr>
            <w:tcW w:w="2783" w:type="dxa"/>
            <w:gridSpan w:val="5"/>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9" w:type="dxa"/>
            <w:gridSpan w:val="29"/>
            <w:shd w:val="clear" w:color="auto" w:fill="D8D8D8" w:themeFill="background1" w:themeFillShade="D9"/>
            <w:vAlign w:val="center"/>
          </w:tcPr>
          <w:p>
            <w:pPr>
              <w:jc w:val="center"/>
              <w:rPr>
                <w:sz w:val="24"/>
                <w:szCs w:val="24"/>
              </w:rPr>
            </w:pPr>
            <w:r>
              <w:rPr>
                <w:rFonts w:hint="eastAsia"/>
                <w:sz w:val="24"/>
                <w:szCs w:val="24"/>
              </w:rPr>
              <w:t>紧急联络人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5" w:type="dxa"/>
            <w:gridSpan w:val="4"/>
            <w:shd w:val="clear" w:color="auto" w:fill="auto"/>
            <w:vAlign w:val="center"/>
          </w:tcPr>
          <w:p>
            <w:pPr>
              <w:jc w:val="center"/>
              <w:rPr>
                <w:sz w:val="24"/>
                <w:szCs w:val="24"/>
              </w:rPr>
            </w:pPr>
            <w:r>
              <w:rPr>
                <w:rFonts w:hint="eastAsia"/>
                <w:sz w:val="24"/>
                <w:szCs w:val="24"/>
              </w:rPr>
              <w:t>姓名</w:t>
            </w:r>
          </w:p>
        </w:tc>
        <w:tc>
          <w:tcPr>
            <w:tcW w:w="1987" w:type="dxa"/>
            <w:gridSpan w:val="9"/>
            <w:shd w:val="clear" w:color="auto" w:fill="auto"/>
            <w:vAlign w:val="center"/>
          </w:tcPr>
          <w:p>
            <w:pPr>
              <w:jc w:val="center"/>
              <w:rPr>
                <w:sz w:val="24"/>
                <w:szCs w:val="24"/>
              </w:rPr>
            </w:pPr>
            <w:r>
              <w:rPr>
                <w:rFonts w:hint="eastAsia"/>
                <w:sz w:val="24"/>
                <w:szCs w:val="24"/>
              </w:rPr>
              <w:t>关系</w:t>
            </w:r>
          </w:p>
        </w:tc>
        <w:tc>
          <w:tcPr>
            <w:tcW w:w="2654" w:type="dxa"/>
            <w:gridSpan w:val="11"/>
            <w:shd w:val="clear" w:color="auto" w:fill="auto"/>
            <w:vAlign w:val="center"/>
          </w:tcPr>
          <w:p>
            <w:pPr>
              <w:jc w:val="center"/>
              <w:rPr>
                <w:sz w:val="24"/>
                <w:szCs w:val="24"/>
              </w:rPr>
            </w:pPr>
            <w:r>
              <w:rPr>
                <w:rFonts w:hint="eastAsia"/>
                <w:sz w:val="24"/>
                <w:szCs w:val="24"/>
              </w:rPr>
              <w:t>联络地址及邮编</w:t>
            </w:r>
          </w:p>
        </w:tc>
        <w:tc>
          <w:tcPr>
            <w:tcW w:w="2783" w:type="dxa"/>
            <w:gridSpan w:val="5"/>
            <w:shd w:val="clear" w:color="auto" w:fill="auto"/>
            <w:vAlign w:val="center"/>
          </w:tcPr>
          <w:p>
            <w:pPr>
              <w:jc w:val="center"/>
              <w:rPr>
                <w:sz w:val="24"/>
                <w:szCs w:val="24"/>
              </w:rPr>
            </w:pPr>
            <w:r>
              <w:rPr>
                <w:rFonts w:hint="eastAsia"/>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5" w:type="dxa"/>
            <w:gridSpan w:val="4"/>
            <w:shd w:val="clear" w:color="auto" w:fill="auto"/>
            <w:vAlign w:val="center"/>
          </w:tcPr>
          <w:p>
            <w:pPr>
              <w:jc w:val="center"/>
              <w:rPr>
                <w:sz w:val="24"/>
                <w:szCs w:val="24"/>
              </w:rPr>
            </w:pPr>
          </w:p>
          <w:p>
            <w:pPr>
              <w:jc w:val="center"/>
              <w:rPr>
                <w:sz w:val="24"/>
                <w:szCs w:val="24"/>
              </w:rPr>
            </w:pPr>
          </w:p>
        </w:tc>
        <w:tc>
          <w:tcPr>
            <w:tcW w:w="1987" w:type="dxa"/>
            <w:gridSpan w:val="9"/>
            <w:shd w:val="clear" w:color="auto" w:fill="auto"/>
            <w:vAlign w:val="center"/>
          </w:tcPr>
          <w:p>
            <w:pPr>
              <w:jc w:val="center"/>
              <w:rPr>
                <w:sz w:val="24"/>
                <w:szCs w:val="24"/>
              </w:rPr>
            </w:pPr>
          </w:p>
        </w:tc>
        <w:tc>
          <w:tcPr>
            <w:tcW w:w="2654" w:type="dxa"/>
            <w:gridSpan w:val="11"/>
            <w:shd w:val="clear" w:color="auto" w:fill="auto"/>
            <w:vAlign w:val="center"/>
          </w:tcPr>
          <w:p>
            <w:pPr>
              <w:jc w:val="center"/>
              <w:rPr>
                <w:sz w:val="24"/>
                <w:szCs w:val="24"/>
              </w:rPr>
            </w:pPr>
          </w:p>
        </w:tc>
        <w:tc>
          <w:tcPr>
            <w:tcW w:w="2783" w:type="dxa"/>
            <w:gridSpan w:val="5"/>
            <w:shd w:val="clear" w:color="auto" w:fill="auto"/>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9369" w:type="dxa"/>
            <w:gridSpan w:val="29"/>
            <w:shd w:val="clear" w:color="auto" w:fill="auto"/>
            <w:vAlign w:val="center"/>
          </w:tcPr>
          <w:p>
            <w:pPr>
              <w:jc w:val="left"/>
              <w:rPr>
                <w:sz w:val="24"/>
                <w:szCs w:val="24"/>
              </w:rPr>
            </w:pPr>
            <w:r>
              <w:rPr>
                <w:rFonts w:hint="eastAsia"/>
                <w:sz w:val="24"/>
                <w:szCs w:val="24"/>
              </w:rPr>
              <w:t>自我评价（包括性格、能力等）：</w:t>
            </w:r>
          </w:p>
          <w:p>
            <w:pPr>
              <w:jc w:val="left"/>
              <w:rPr>
                <w:sz w:val="24"/>
                <w:szCs w:val="24"/>
              </w:rPr>
            </w:pPr>
          </w:p>
          <w:p>
            <w:pPr>
              <w:jc w:val="left"/>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9" w:type="dxa"/>
            <w:gridSpan w:val="29"/>
            <w:shd w:val="clear" w:color="auto" w:fill="auto"/>
            <w:vAlign w:val="center"/>
          </w:tcPr>
          <w:p>
            <w:pPr>
              <w:jc w:val="left"/>
              <w:rPr>
                <w:sz w:val="24"/>
                <w:szCs w:val="24"/>
              </w:rPr>
            </w:pPr>
            <w:r>
              <w:rPr>
                <w:rFonts w:hint="eastAsia"/>
                <w:sz w:val="24"/>
                <w:szCs w:val="24"/>
              </w:rPr>
              <w:t>在机构的职业发展设想：</w:t>
            </w:r>
          </w:p>
          <w:p>
            <w:pPr>
              <w:jc w:val="left"/>
              <w:rPr>
                <w:sz w:val="24"/>
                <w:szCs w:val="24"/>
              </w:rPr>
            </w:pPr>
          </w:p>
          <w:p>
            <w:pPr>
              <w:jc w:val="left"/>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9" w:type="dxa"/>
            <w:gridSpan w:val="29"/>
            <w:shd w:val="clear" w:color="auto" w:fill="auto"/>
            <w:vAlign w:val="center"/>
          </w:tcPr>
          <w:p>
            <w:pPr>
              <w:jc w:val="left"/>
              <w:rPr>
                <w:sz w:val="24"/>
                <w:szCs w:val="24"/>
              </w:rPr>
            </w:pPr>
            <w:r>
              <w:rPr>
                <w:rFonts w:hint="eastAsia"/>
                <w:sz w:val="24"/>
                <w:szCs w:val="24"/>
              </w:rPr>
              <w:t>其他需要说明的情况：</w:t>
            </w:r>
          </w:p>
          <w:p>
            <w:pPr>
              <w:jc w:val="left"/>
              <w:rPr>
                <w:sz w:val="24"/>
                <w:szCs w:val="24"/>
              </w:rPr>
            </w:pPr>
          </w:p>
          <w:p>
            <w:pPr>
              <w:jc w:val="left"/>
              <w:rPr>
                <w:sz w:val="24"/>
                <w:szCs w:val="24"/>
              </w:rPr>
            </w:pPr>
          </w:p>
          <w:p>
            <w:pPr>
              <w:jc w:val="left"/>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jc w:val="center"/>
              <w:rPr>
                <w:sz w:val="24"/>
                <w:szCs w:val="24"/>
              </w:rPr>
            </w:pPr>
          </w:p>
          <w:p>
            <w:pPr>
              <w:jc w:val="center"/>
              <w:rPr>
                <w:sz w:val="24"/>
                <w:szCs w:val="24"/>
              </w:rPr>
            </w:pPr>
            <w:r>
              <w:rPr>
                <w:rFonts w:hint="eastAsia"/>
                <w:sz w:val="24"/>
                <w:szCs w:val="24"/>
              </w:rPr>
              <w:t>员</w:t>
            </w:r>
          </w:p>
          <w:p>
            <w:pPr>
              <w:jc w:val="center"/>
              <w:rPr>
                <w:sz w:val="24"/>
                <w:szCs w:val="24"/>
              </w:rPr>
            </w:pPr>
            <w:r>
              <w:rPr>
                <w:rFonts w:hint="eastAsia"/>
                <w:sz w:val="24"/>
                <w:szCs w:val="24"/>
              </w:rPr>
              <w:t>工</w:t>
            </w:r>
          </w:p>
          <w:p>
            <w:pPr>
              <w:jc w:val="center"/>
              <w:rPr>
                <w:sz w:val="24"/>
                <w:szCs w:val="24"/>
              </w:rPr>
            </w:pPr>
            <w:r>
              <w:rPr>
                <w:rFonts w:hint="eastAsia"/>
                <w:sz w:val="24"/>
                <w:szCs w:val="24"/>
              </w:rPr>
              <w:t>声</w:t>
            </w:r>
          </w:p>
          <w:p>
            <w:pPr>
              <w:jc w:val="center"/>
              <w:rPr>
                <w:sz w:val="24"/>
                <w:szCs w:val="24"/>
              </w:rPr>
            </w:pPr>
            <w:r>
              <w:rPr>
                <w:rFonts w:hint="eastAsia"/>
                <w:sz w:val="24"/>
                <w:szCs w:val="24"/>
              </w:rPr>
              <w:t>明</w:t>
            </w:r>
          </w:p>
        </w:tc>
        <w:tc>
          <w:tcPr>
            <w:tcW w:w="8416" w:type="dxa"/>
            <w:gridSpan w:val="28"/>
            <w:shd w:val="clear" w:color="auto" w:fill="auto"/>
            <w:vAlign w:val="center"/>
          </w:tcPr>
          <w:p>
            <w:pPr>
              <w:pStyle w:val="17"/>
              <w:numPr>
                <w:ilvl w:val="0"/>
                <w:numId w:val="4"/>
              </w:numPr>
              <w:ind w:firstLine="0" w:firstLineChars="0"/>
              <w:jc w:val="left"/>
              <w:rPr>
                <w:sz w:val="24"/>
                <w:szCs w:val="24"/>
              </w:rPr>
            </w:pPr>
            <w:r>
              <w:rPr>
                <w:rFonts w:hint="eastAsia"/>
                <w:sz w:val="24"/>
                <w:szCs w:val="24"/>
              </w:rPr>
              <w:t>员工确认，机构已如实告知工作内容、工作地点、工作条件、劳务报酬以及员工要求了解的情况。</w:t>
            </w:r>
          </w:p>
          <w:p>
            <w:pPr>
              <w:pStyle w:val="17"/>
              <w:numPr>
                <w:ilvl w:val="0"/>
                <w:numId w:val="4"/>
              </w:numPr>
              <w:ind w:firstLine="0" w:firstLineChars="0"/>
              <w:jc w:val="left"/>
              <w:rPr>
                <w:sz w:val="24"/>
                <w:szCs w:val="24"/>
              </w:rPr>
            </w:pPr>
            <w:r>
              <w:rPr>
                <w:rFonts w:hint="eastAsia"/>
                <w:sz w:val="24"/>
                <w:szCs w:val="24"/>
              </w:rPr>
              <w:t>员工在本表提供的个人信息、学历证明、资格证明、工作经历等个人资料均真实，员工充分了解上述资料的真实性是双方订立劳动合同的前提条件。</w:t>
            </w:r>
          </w:p>
          <w:p>
            <w:pPr>
              <w:pStyle w:val="17"/>
              <w:numPr>
                <w:ilvl w:val="0"/>
                <w:numId w:val="4"/>
              </w:numPr>
              <w:ind w:firstLine="0" w:firstLineChars="0"/>
              <w:jc w:val="left"/>
              <w:rPr>
                <w:sz w:val="24"/>
                <w:szCs w:val="24"/>
              </w:rPr>
            </w:pPr>
            <w:r>
              <w:rPr>
                <w:rFonts w:hint="eastAsia"/>
                <w:sz w:val="24"/>
                <w:szCs w:val="24"/>
              </w:rPr>
              <w:t>员工确认，本表填写的通信地址正确。</w:t>
            </w:r>
          </w:p>
          <w:p>
            <w:pPr>
              <w:pStyle w:val="17"/>
              <w:ind w:left="360" w:firstLine="0" w:firstLineChars="0"/>
              <w:jc w:val="center"/>
              <w:rPr>
                <w:sz w:val="24"/>
                <w:szCs w:val="24"/>
              </w:rPr>
            </w:pPr>
          </w:p>
        </w:tc>
      </w:tr>
    </w:tbl>
    <w:p>
      <w:pPr>
        <w:jc w:val="center"/>
        <w:rPr>
          <w:b/>
          <w:sz w:val="18"/>
          <w:szCs w:val="18"/>
        </w:rPr>
      </w:pPr>
      <w:r>
        <w:rPr>
          <w:rFonts w:hint="eastAsia"/>
          <w:b/>
          <w:sz w:val="18"/>
          <w:szCs w:val="18"/>
        </w:rPr>
        <w:t>填表人姓名：                             年    月    日</w:t>
      </w:r>
    </w:p>
    <w:p>
      <w:pPr>
        <w:spacing w:line="500" w:lineRule="atLeast"/>
        <w:rPr>
          <w:rFonts w:ascii="宋体" w:hAnsi="宋体" w:cs="宋体"/>
          <w:sz w:val="24"/>
        </w:rPr>
      </w:pPr>
    </w:p>
    <w:p>
      <w:pPr>
        <w:spacing w:line="500" w:lineRule="atLeast"/>
        <w:rPr>
          <w:rFonts w:ascii="宋体" w:hAnsi="宋体" w:cs="宋体"/>
          <w:sz w:val="24"/>
        </w:rPr>
      </w:pPr>
    </w:p>
    <w:p>
      <w:pPr>
        <w:spacing w:line="360" w:lineRule="auto"/>
        <w:outlineLvl w:val="1"/>
        <w:rPr>
          <w:rFonts w:asciiTheme="minorEastAsia" w:hAnsiTheme="minorEastAsia"/>
          <w:sz w:val="24"/>
          <w:szCs w:val="24"/>
        </w:rPr>
      </w:pPr>
      <w:bookmarkStart w:id="105" w:name="_Toc15977"/>
      <w:bookmarkStart w:id="106" w:name="_Toc403829226"/>
      <w:r>
        <w:rPr>
          <w:rFonts w:hint="eastAsia" w:asciiTheme="minorEastAsia" w:hAnsiTheme="minorEastAsia"/>
          <w:sz w:val="24"/>
          <w:szCs w:val="24"/>
        </w:rPr>
        <w:t>附件17-2：《员工转正考评面谈表》</w:t>
      </w:r>
      <w:bookmarkEnd w:id="105"/>
      <w:bookmarkEnd w:id="106"/>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基金会员工转正考评面谈表</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835"/>
        <w:gridCol w:w="1222"/>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shd w:val="clear" w:color="auto" w:fill="auto"/>
          </w:tcPr>
          <w:p>
            <w:pPr>
              <w:jc w:val="right"/>
              <w:rPr>
                <w:sz w:val="24"/>
                <w:szCs w:val="24"/>
              </w:rPr>
            </w:pPr>
          </w:p>
          <w:p>
            <w:pPr>
              <w:jc w:val="right"/>
              <w:rPr>
                <w:sz w:val="24"/>
                <w:szCs w:val="24"/>
              </w:rPr>
            </w:pPr>
            <w:r>
              <w:rPr>
                <w:rFonts w:hint="eastAsia"/>
                <w:sz w:val="24"/>
                <w:szCs w:val="24"/>
              </w:rPr>
              <w:t>被考评人姓名</w:t>
            </w:r>
          </w:p>
        </w:tc>
        <w:tc>
          <w:tcPr>
            <w:tcW w:w="2835" w:type="dxa"/>
            <w:shd w:val="clear" w:color="auto" w:fill="auto"/>
          </w:tcPr>
          <w:p>
            <w:pPr>
              <w:rPr>
                <w:sz w:val="24"/>
                <w:szCs w:val="24"/>
              </w:rPr>
            </w:pPr>
          </w:p>
          <w:p>
            <w:pPr>
              <w:rPr>
                <w:sz w:val="24"/>
                <w:szCs w:val="24"/>
              </w:rPr>
            </w:pPr>
          </w:p>
        </w:tc>
        <w:tc>
          <w:tcPr>
            <w:tcW w:w="1222" w:type="dxa"/>
            <w:shd w:val="clear" w:color="auto" w:fill="auto"/>
          </w:tcPr>
          <w:p>
            <w:pPr>
              <w:jc w:val="right"/>
              <w:rPr>
                <w:sz w:val="24"/>
                <w:szCs w:val="24"/>
              </w:rPr>
            </w:pPr>
          </w:p>
          <w:p>
            <w:pPr>
              <w:jc w:val="right"/>
              <w:rPr>
                <w:sz w:val="24"/>
                <w:szCs w:val="24"/>
              </w:rPr>
            </w:pPr>
            <w:r>
              <w:rPr>
                <w:rFonts w:hint="eastAsia"/>
                <w:sz w:val="24"/>
                <w:szCs w:val="24"/>
              </w:rPr>
              <w:t>考评时间</w:t>
            </w:r>
          </w:p>
        </w:tc>
        <w:tc>
          <w:tcPr>
            <w:tcW w:w="2797" w:type="dxa"/>
            <w:shd w:val="clear" w:color="auto" w:fill="auto"/>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shd w:val="clear" w:color="auto" w:fill="auto"/>
          </w:tcPr>
          <w:p>
            <w:pPr>
              <w:jc w:val="center"/>
              <w:rPr>
                <w:sz w:val="24"/>
                <w:szCs w:val="24"/>
              </w:rPr>
            </w:pPr>
          </w:p>
          <w:p>
            <w:pPr>
              <w:jc w:val="center"/>
              <w:rPr>
                <w:sz w:val="24"/>
                <w:szCs w:val="24"/>
              </w:rPr>
            </w:pPr>
            <w:r>
              <w:rPr>
                <w:rFonts w:hint="eastAsia"/>
                <w:sz w:val="24"/>
                <w:szCs w:val="24"/>
              </w:rPr>
              <w:t>转正岗位</w:t>
            </w:r>
          </w:p>
        </w:tc>
        <w:tc>
          <w:tcPr>
            <w:tcW w:w="2835" w:type="dxa"/>
            <w:shd w:val="clear" w:color="auto" w:fill="auto"/>
          </w:tcPr>
          <w:p>
            <w:pPr>
              <w:jc w:val="center"/>
              <w:rPr>
                <w:sz w:val="24"/>
                <w:szCs w:val="24"/>
              </w:rPr>
            </w:pPr>
          </w:p>
        </w:tc>
        <w:tc>
          <w:tcPr>
            <w:tcW w:w="1222" w:type="dxa"/>
            <w:shd w:val="clear" w:color="auto" w:fill="auto"/>
          </w:tcPr>
          <w:p>
            <w:pPr>
              <w:jc w:val="center"/>
              <w:rPr>
                <w:sz w:val="24"/>
                <w:szCs w:val="24"/>
              </w:rPr>
            </w:pPr>
          </w:p>
          <w:p>
            <w:pPr>
              <w:jc w:val="center"/>
              <w:rPr>
                <w:sz w:val="24"/>
                <w:szCs w:val="24"/>
              </w:rPr>
            </w:pPr>
            <w:r>
              <w:rPr>
                <w:rFonts w:hint="eastAsia"/>
                <w:sz w:val="24"/>
                <w:szCs w:val="24"/>
              </w:rPr>
              <w:t>试用期</w:t>
            </w:r>
          </w:p>
        </w:tc>
        <w:tc>
          <w:tcPr>
            <w:tcW w:w="2797" w:type="dxa"/>
            <w:shd w:val="clear" w:color="auto" w:fill="auto"/>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shd w:val="clear" w:color="auto" w:fill="auto"/>
          </w:tcPr>
          <w:p>
            <w:pPr>
              <w:rPr>
                <w:sz w:val="24"/>
                <w:szCs w:val="24"/>
              </w:rPr>
            </w:pPr>
          </w:p>
          <w:p>
            <w:pPr>
              <w:rPr>
                <w:sz w:val="24"/>
                <w:szCs w:val="24"/>
              </w:rPr>
            </w:pPr>
          </w:p>
          <w:p>
            <w:pPr>
              <w:rPr>
                <w:sz w:val="24"/>
                <w:szCs w:val="24"/>
              </w:rPr>
            </w:pPr>
            <w:r>
              <w:rPr>
                <w:rFonts w:hint="eastAsia"/>
                <w:sz w:val="24"/>
                <w:szCs w:val="24"/>
              </w:rPr>
              <w:t>业绩讨论要点</w:t>
            </w:r>
          </w:p>
          <w:p>
            <w:pPr>
              <w:rPr>
                <w:sz w:val="24"/>
                <w:szCs w:val="24"/>
              </w:rPr>
            </w:pPr>
          </w:p>
          <w:p>
            <w:pPr>
              <w:rPr>
                <w:sz w:val="24"/>
                <w:szCs w:val="24"/>
              </w:rPr>
            </w:pPr>
          </w:p>
        </w:tc>
        <w:tc>
          <w:tcPr>
            <w:tcW w:w="6854" w:type="dxa"/>
            <w:gridSpan w:val="3"/>
            <w:shd w:val="clear" w:color="auto" w:fill="auto"/>
          </w:tcPr>
          <w:p>
            <w:pPr>
              <w:rPr>
                <w:sz w:val="24"/>
                <w:szCs w:val="24"/>
              </w:rPr>
            </w:pPr>
          </w:p>
          <w:p>
            <w:pPr>
              <w:rPr>
                <w:sz w:val="24"/>
                <w:szCs w:val="24"/>
              </w:rPr>
            </w:pPr>
          </w:p>
          <w:p>
            <w:pPr>
              <w:rPr>
                <w:sz w:val="24"/>
                <w:szCs w:val="24"/>
              </w:rPr>
            </w:pPr>
          </w:p>
          <w:p>
            <w:pPr>
              <w:rPr>
                <w:sz w:val="24"/>
                <w:szCs w:val="24"/>
              </w:rPr>
            </w:pPr>
          </w:p>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shd w:val="clear" w:color="auto" w:fill="auto"/>
          </w:tcPr>
          <w:p>
            <w:pPr>
              <w:rPr>
                <w:sz w:val="24"/>
                <w:szCs w:val="24"/>
              </w:rPr>
            </w:pPr>
          </w:p>
          <w:p>
            <w:pPr>
              <w:rPr>
                <w:sz w:val="24"/>
                <w:szCs w:val="24"/>
              </w:rPr>
            </w:pPr>
          </w:p>
          <w:p>
            <w:pPr>
              <w:rPr>
                <w:sz w:val="24"/>
                <w:szCs w:val="24"/>
              </w:rPr>
            </w:pPr>
            <w:r>
              <w:rPr>
                <w:rFonts w:hint="eastAsia"/>
                <w:sz w:val="24"/>
                <w:szCs w:val="24"/>
              </w:rPr>
              <w:t>能力讨论要点</w:t>
            </w:r>
          </w:p>
          <w:p>
            <w:pPr>
              <w:rPr>
                <w:sz w:val="24"/>
                <w:szCs w:val="24"/>
              </w:rPr>
            </w:pPr>
          </w:p>
          <w:p>
            <w:pPr>
              <w:rPr>
                <w:sz w:val="24"/>
                <w:szCs w:val="24"/>
              </w:rPr>
            </w:pPr>
          </w:p>
        </w:tc>
        <w:tc>
          <w:tcPr>
            <w:tcW w:w="6854" w:type="dxa"/>
            <w:gridSpan w:val="3"/>
            <w:shd w:val="clear" w:color="auto" w:fill="auto"/>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shd w:val="clear" w:color="auto" w:fill="auto"/>
          </w:tcPr>
          <w:p>
            <w:pPr>
              <w:rPr>
                <w:sz w:val="24"/>
                <w:szCs w:val="24"/>
              </w:rPr>
            </w:pPr>
          </w:p>
          <w:p>
            <w:pPr>
              <w:rPr>
                <w:sz w:val="24"/>
                <w:szCs w:val="24"/>
              </w:rPr>
            </w:pPr>
          </w:p>
          <w:p>
            <w:pPr>
              <w:rPr>
                <w:sz w:val="24"/>
                <w:szCs w:val="24"/>
              </w:rPr>
            </w:pPr>
            <w:r>
              <w:rPr>
                <w:rFonts w:hint="eastAsia"/>
                <w:sz w:val="24"/>
                <w:szCs w:val="24"/>
              </w:rPr>
              <w:t>工作提升方向及阶段性目标</w:t>
            </w:r>
          </w:p>
          <w:p>
            <w:pPr>
              <w:rPr>
                <w:sz w:val="24"/>
                <w:szCs w:val="24"/>
              </w:rPr>
            </w:pPr>
          </w:p>
          <w:p>
            <w:pPr>
              <w:rPr>
                <w:sz w:val="24"/>
                <w:szCs w:val="24"/>
              </w:rPr>
            </w:pPr>
          </w:p>
        </w:tc>
        <w:tc>
          <w:tcPr>
            <w:tcW w:w="6854" w:type="dxa"/>
            <w:gridSpan w:val="3"/>
            <w:shd w:val="clear" w:color="auto" w:fill="auto"/>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shd w:val="clear" w:color="auto" w:fill="auto"/>
          </w:tcPr>
          <w:p>
            <w:pPr>
              <w:rPr>
                <w:sz w:val="24"/>
                <w:szCs w:val="24"/>
              </w:rPr>
            </w:pPr>
          </w:p>
          <w:p>
            <w:pPr>
              <w:rPr>
                <w:sz w:val="24"/>
                <w:szCs w:val="24"/>
              </w:rPr>
            </w:pPr>
            <w:r>
              <w:rPr>
                <w:rFonts w:hint="eastAsia"/>
                <w:sz w:val="24"/>
                <w:szCs w:val="24"/>
              </w:rPr>
              <w:t>职业发展方向</w:t>
            </w:r>
          </w:p>
          <w:p>
            <w:pPr>
              <w:rPr>
                <w:sz w:val="24"/>
                <w:szCs w:val="24"/>
              </w:rPr>
            </w:pPr>
          </w:p>
        </w:tc>
        <w:tc>
          <w:tcPr>
            <w:tcW w:w="6854" w:type="dxa"/>
            <w:gridSpan w:val="3"/>
            <w:shd w:val="clear" w:color="auto" w:fill="auto"/>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shd w:val="clear" w:color="auto" w:fill="auto"/>
          </w:tcPr>
          <w:p>
            <w:pPr>
              <w:jc w:val="center"/>
              <w:rPr>
                <w:sz w:val="24"/>
                <w:szCs w:val="24"/>
              </w:rPr>
            </w:pPr>
          </w:p>
          <w:p>
            <w:pPr>
              <w:jc w:val="center"/>
              <w:rPr>
                <w:sz w:val="24"/>
                <w:szCs w:val="24"/>
              </w:rPr>
            </w:pPr>
            <w:r>
              <w:rPr>
                <w:rFonts w:hint="eastAsia"/>
                <w:sz w:val="24"/>
                <w:szCs w:val="24"/>
              </w:rPr>
              <w:t>其他</w:t>
            </w:r>
          </w:p>
          <w:p>
            <w:pPr>
              <w:jc w:val="center"/>
              <w:rPr>
                <w:sz w:val="24"/>
                <w:szCs w:val="24"/>
              </w:rPr>
            </w:pPr>
          </w:p>
        </w:tc>
        <w:tc>
          <w:tcPr>
            <w:tcW w:w="6854" w:type="dxa"/>
            <w:gridSpan w:val="3"/>
            <w:shd w:val="clear" w:color="auto" w:fill="auto"/>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shd w:val="clear" w:color="auto" w:fill="auto"/>
          </w:tcPr>
          <w:p>
            <w:pPr>
              <w:jc w:val="center"/>
              <w:rPr>
                <w:sz w:val="24"/>
                <w:szCs w:val="24"/>
              </w:rPr>
            </w:pPr>
          </w:p>
          <w:p>
            <w:pPr>
              <w:jc w:val="center"/>
              <w:rPr>
                <w:sz w:val="24"/>
                <w:szCs w:val="24"/>
              </w:rPr>
            </w:pPr>
          </w:p>
          <w:p>
            <w:pPr>
              <w:jc w:val="center"/>
              <w:rPr>
                <w:sz w:val="24"/>
                <w:szCs w:val="24"/>
              </w:rPr>
            </w:pPr>
            <w:r>
              <w:rPr>
                <w:rFonts w:hint="eastAsia"/>
                <w:sz w:val="24"/>
                <w:szCs w:val="24"/>
              </w:rPr>
              <w:t>面谈收获及发展建议</w:t>
            </w:r>
          </w:p>
          <w:p>
            <w:pPr>
              <w:jc w:val="center"/>
              <w:rPr>
                <w:sz w:val="24"/>
                <w:szCs w:val="24"/>
              </w:rPr>
            </w:pPr>
          </w:p>
        </w:tc>
        <w:tc>
          <w:tcPr>
            <w:tcW w:w="6854" w:type="dxa"/>
            <w:gridSpan w:val="3"/>
            <w:shd w:val="clear" w:color="auto" w:fill="auto"/>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668" w:type="dxa"/>
            <w:shd w:val="clear" w:color="auto" w:fill="auto"/>
          </w:tcPr>
          <w:p>
            <w:pPr>
              <w:rPr>
                <w:sz w:val="24"/>
                <w:szCs w:val="24"/>
              </w:rPr>
            </w:pPr>
          </w:p>
          <w:p>
            <w:pPr>
              <w:rPr>
                <w:sz w:val="24"/>
                <w:szCs w:val="24"/>
              </w:rPr>
            </w:pPr>
            <w:r>
              <w:rPr>
                <w:rFonts w:hint="eastAsia"/>
                <w:sz w:val="24"/>
                <w:szCs w:val="24"/>
              </w:rPr>
              <w:t>考评者签字</w:t>
            </w:r>
          </w:p>
          <w:p>
            <w:pPr>
              <w:rPr>
                <w:sz w:val="24"/>
                <w:szCs w:val="24"/>
              </w:rPr>
            </w:pPr>
          </w:p>
        </w:tc>
        <w:tc>
          <w:tcPr>
            <w:tcW w:w="6854" w:type="dxa"/>
            <w:gridSpan w:val="3"/>
            <w:shd w:val="clear" w:color="auto" w:fill="auto"/>
          </w:tcPr>
          <w:p>
            <w:pPr>
              <w:rPr>
                <w:sz w:val="24"/>
                <w:szCs w:val="24"/>
              </w:rPr>
            </w:pPr>
          </w:p>
        </w:tc>
      </w:tr>
    </w:tbl>
    <w:p>
      <w:pPr>
        <w:spacing w:line="360" w:lineRule="auto"/>
        <w:outlineLvl w:val="1"/>
        <w:rPr>
          <w:rFonts w:hint="eastAsia" w:asciiTheme="minorEastAsia" w:hAnsiTheme="minorEastAsia"/>
          <w:sz w:val="24"/>
          <w:szCs w:val="24"/>
        </w:rPr>
      </w:pPr>
      <w:bookmarkStart w:id="107" w:name="_Toc403829227"/>
    </w:p>
    <w:p>
      <w:pPr>
        <w:spacing w:line="360" w:lineRule="auto"/>
        <w:outlineLvl w:val="1"/>
        <w:rPr>
          <w:rFonts w:hint="eastAsia" w:asciiTheme="minorEastAsia" w:hAnsiTheme="minorEastAsia"/>
          <w:sz w:val="24"/>
          <w:szCs w:val="24"/>
        </w:rPr>
      </w:pPr>
    </w:p>
    <w:p>
      <w:pPr>
        <w:spacing w:line="360" w:lineRule="auto"/>
        <w:outlineLvl w:val="1"/>
        <w:rPr>
          <w:rFonts w:hint="eastAsia" w:asciiTheme="minorEastAsia" w:hAnsiTheme="minorEastAsia"/>
          <w:sz w:val="24"/>
          <w:szCs w:val="24"/>
        </w:rPr>
      </w:pPr>
    </w:p>
    <w:p>
      <w:pPr>
        <w:spacing w:line="360" w:lineRule="auto"/>
        <w:outlineLvl w:val="1"/>
        <w:rPr>
          <w:rFonts w:asciiTheme="minorEastAsia" w:hAnsiTheme="minorEastAsia"/>
          <w:sz w:val="24"/>
          <w:szCs w:val="24"/>
        </w:rPr>
      </w:pPr>
      <w:bookmarkStart w:id="108" w:name="_Toc4849"/>
      <w:r>
        <w:rPr>
          <w:rFonts w:hint="eastAsia" w:asciiTheme="minorEastAsia" w:hAnsiTheme="minorEastAsia"/>
          <w:sz w:val="24"/>
          <w:szCs w:val="24"/>
        </w:rPr>
        <w:t>附件17-3：《员工转正评价表（直属领导）》</w:t>
      </w:r>
      <w:bookmarkEnd w:id="107"/>
      <w:bookmarkEnd w:id="108"/>
    </w:p>
    <w:p>
      <w:pPr>
        <w:spacing w:line="360" w:lineRule="auto"/>
        <w:jc w:val="center"/>
        <w:rPr>
          <w:rFonts w:ascii="微软雅黑" w:hAnsi="微软雅黑" w:eastAsia="微软雅黑" w:cs="宋体"/>
          <w:b/>
          <w:bCs/>
          <w:sz w:val="28"/>
          <w:szCs w:val="28"/>
        </w:rPr>
      </w:pPr>
      <w:r>
        <w:rPr>
          <w:rFonts w:hint="eastAsia" w:ascii="微软雅黑" w:hAnsi="微软雅黑" w:eastAsia="微软雅黑" w:cs="宋体"/>
          <w:b/>
          <w:bCs/>
          <w:sz w:val="28"/>
          <w:szCs w:val="28"/>
          <w:lang w:eastAsia="zh-CN"/>
        </w:rPr>
        <w:t>北京天地文化发展</w:t>
      </w:r>
      <w:r>
        <w:rPr>
          <w:rFonts w:hint="eastAsia" w:ascii="微软雅黑" w:hAnsi="微软雅黑" w:eastAsia="微软雅黑" w:cs="宋体"/>
          <w:b/>
          <w:bCs/>
          <w:sz w:val="28"/>
          <w:szCs w:val="28"/>
        </w:rPr>
        <w:t>基金会员工转正评价表（直属领导）</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550"/>
        <w:gridCol w:w="883"/>
        <w:gridCol w:w="685"/>
        <w:gridCol w:w="1465"/>
        <w:gridCol w:w="1218"/>
        <w:gridCol w:w="1062"/>
        <w:gridCol w:w="1105"/>
        <w:gridCol w:w="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gridSpan w:val="2"/>
            <w:shd w:val="clear" w:color="auto" w:fill="auto"/>
          </w:tcPr>
          <w:p>
            <w:pPr>
              <w:jc w:val="center"/>
              <w:rPr>
                <w:b/>
              </w:rPr>
            </w:pPr>
          </w:p>
          <w:p>
            <w:pPr>
              <w:jc w:val="center"/>
              <w:rPr>
                <w:b/>
              </w:rPr>
            </w:pPr>
            <w:r>
              <w:rPr>
                <w:rFonts w:hint="eastAsia"/>
                <w:b/>
              </w:rPr>
              <w:t>被评估人姓名</w:t>
            </w:r>
          </w:p>
        </w:tc>
        <w:tc>
          <w:tcPr>
            <w:tcW w:w="1568" w:type="dxa"/>
            <w:gridSpan w:val="2"/>
            <w:shd w:val="clear" w:color="auto" w:fill="auto"/>
          </w:tcPr>
          <w:p>
            <w:pPr>
              <w:jc w:val="center"/>
              <w:rPr>
                <w:b/>
              </w:rPr>
            </w:pPr>
          </w:p>
          <w:p>
            <w:pPr>
              <w:jc w:val="center"/>
              <w:rPr>
                <w:b/>
              </w:rPr>
            </w:pPr>
          </w:p>
        </w:tc>
        <w:tc>
          <w:tcPr>
            <w:tcW w:w="2683" w:type="dxa"/>
            <w:gridSpan w:val="2"/>
            <w:shd w:val="clear" w:color="auto" w:fill="auto"/>
          </w:tcPr>
          <w:p>
            <w:pPr>
              <w:jc w:val="center"/>
              <w:rPr>
                <w:b/>
              </w:rPr>
            </w:pPr>
          </w:p>
          <w:p>
            <w:pPr>
              <w:jc w:val="center"/>
              <w:rPr>
                <w:b/>
              </w:rPr>
            </w:pPr>
            <w:r>
              <w:rPr>
                <w:rFonts w:hint="eastAsia"/>
                <w:b/>
              </w:rPr>
              <w:t>评估时间</w:t>
            </w:r>
          </w:p>
        </w:tc>
        <w:tc>
          <w:tcPr>
            <w:tcW w:w="2754" w:type="dxa"/>
            <w:gridSpan w:val="3"/>
            <w:shd w:val="clear" w:color="auto" w:fill="auto"/>
          </w:tcPr>
          <w:p>
            <w:pPr>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restart"/>
            <w:shd w:val="clear" w:color="auto" w:fill="auto"/>
          </w:tcPr>
          <w:p>
            <w:pPr>
              <w:jc w:val="center"/>
              <w:rPr>
                <w:b/>
              </w:rPr>
            </w:pPr>
          </w:p>
          <w:p>
            <w:pPr>
              <w:jc w:val="center"/>
              <w:rPr>
                <w:b/>
              </w:rPr>
            </w:pPr>
            <w:r>
              <w:rPr>
                <w:rFonts w:hint="eastAsia"/>
                <w:b/>
              </w:rPr>
              <w:t>考核</w:t>
            </w:r>
          </w:p>
          <w:p>
            <w:pPr>
              <w:jc w:val="center"/>
              <w:rPr>
                <w:b/>
              </w:rPr>
            </w:pPr>
            <w:r>
              <w:rPr>
                <w:rFonts w:hint="eastAsia"/>
                <w:b/>
              </w:rPr>
              <w:t>项目</w:t>
            </w:r>
          </w:p>
        </w:tc>
        <w:tc>
          <w:tcPr>
            <w:tcW w:w="550" w:type="dxa"/>
            <w:vMerge w:val="restart"/>
            <w:shd w:val="clear" w:color="auto" w:fill="auto"/>
          </w:tcPr>
          <w:p>
            <w:pPr>
              <w:rPr>
                <w:b/>
              </w:rPr>
            </w:pPr>
          </w:p>
          <w:p>
            <w:pPr>
              <w:rPr>
                <w:b/>
              </w:rPr>
            </w:pPr>
            <w:r>
              <w:rPr>
                <w:rFonts w:hint="eastAsia"/>
                <w:b/>
              </w:rPr>
              <w:t>序号</w:t>
            </w:r>
          </w:p>
        </w:tc>
        <w:tc>
          <w:tcPr>
            <w:tcW w:w="883" w:type="dxa"/>
            <w:vMerge w:val="restart"/>
            <w:shd w:val="clear" w:color="auto" w:fill="auto"/>
          </w:tcPr>
          <w:p>
            <w:pPr>
              <w:rPr>
                <w:b/>
              </w:rPr>
            </w:pPr>
          </w:p>
          <w:p>
            <w:pPr>
              <w:rPr>
                <w:b/>
              </w:rPr>
            </w:pPr>
            <w:r>
              <w:rPr>
                <w:rFonts w:hint="eastAsia"/>
                <w:b/>
              </w:rPr>
              <w:t>考核</w:t>
            </w:r>
          </w:p>
          <w:p>
            <w:pPr>
              <w:rPr>
                <w:b/>
              </w:rPr>
            </w:pPr>
            <w:r>
              <w:rPr>
                <w:rFonts w:hint="eastAsia"/>
                <w:b/>
              </w:rPr>
              <w:t>明细</w:t>
            </w:r>
          </w:p>
        </w:tc>
        <w:tc>
          <w:tcPr>
            <w:tcW w:w="685" w:type="dxa"/>
            <w:vMerge w:val="restart"/>
            <w:shd w:val="clear" w:color="auto" w:fill="auto"/>
          </w:tcPr>
          <w:p>
            <w:pPr>
              <w:rPr>
                <w:b/>
              </w:rPr>
            </w:pPr>
          </w:p>
          <w:p>
            <w:pPr>
              <w:rPr>
                <w:b/>
              </w:rPr>
            </w:pPr>
            <w:r>
              <w:rPr>
                <w:rFonts w:hint="eastAsia"/>
                <w:b/>
              </w:rPr>
              <w:t>分值</w:t>
            </w:r>
          </w:p>
        </w:tc>
        <w:tc>
          <w:tcPr>
            <w:tcW w:w="4850" w:type="dxa"/>
            <w:gridSpan w:val="4"/>
            <w:shd w:val="clear" w:color="auto" w:fill="auto"/>
          </w:tcPr>
          <w:p>
            <w:pPr>
              <w:jc w:val="center"/>
              <w:rPr>
                <w:b/>
              </w:rPr>
            </w:pPr>
            <w:r>
              <w:rPr>
                <w:rFonts w:hint="eastAsia"/>
                <w:b/>
              </w:rPr>
              <w:t>评分标准</w:t>
            </w:r>
          </w:p>
        </w:tc>
        <w:tc>
          <w:tcPr>
            <w:tcW w:w="587" w:type="dxa"/>
            <w:vMerge w:val="restart"/>
            <w:shd w:val="clear" w:color="auto" w:fill="auto"/>
          </w:tcPr>
          <w:p>
            <w:pPr>
              <w:rPr>
                <w:b/>
              </w:rPr>
            </w:pPr>
            <w:r>
              <w:rPr>
                <w:rFonts w:hint="eastAsia"/>
                <w:b/>
              </w:rPr>
              <w:t>实际</w:t>
            </w:r>
          </w:p>
          <w:p>
            <w:r>
              <w:rPr>
                <w:rFonts w:hint="eastAsia"/>
                <w:b/>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vMerge w:val="continue"/>
            <w:shd w:val="clear" w:color="auto" w:fill="auto"/>
          </w:tcPr>
          <w:p/>
        </w:tc>
        <w:tc>
          <w:tcPr>
            <w:tcW w:w="883" w:type="dxa"/>
            <w:vMerge w:val="continue"/>
            <w:shd w:val="clear" w:color="auto" w:fill="auto"/>
          </w:tcPr>
          <w:p/>
        </w:tc>
        <w:tc>
          <w:tcPr>
            <w:tcW w:w="685" w:type="dxa"/>
            <w:vMerge w:val="continue"/>
            <w:shd w:val="clear" w:color="auto" w:fill="auto"/>
          </w:tcPr>
          <w:p/>
        </w:tc>
        <w:tc>
          <w:tcPr>
            <w:tcW w:w="1465" w:type="dxa"/>
            <w:shd w:val="clear" w:color="auto" w:fill="auto"/>
          </w:tcPr>
          <w:p>
            <w:pPr>
              <w:jc w:val="center"/>
              <w:rPr>
                <w:b/>
              </w:rPr>
            </w:pPr>
            <w:r>
              <w:rPr>
                <w:rFonts w:hint="eastAsia"/>
                <w:b/>
              </w:rPr>
              <w:t>一级</w:t>
            </w:r>
          </w:p>
          <w:p>
            <w:pPr>
              <w:jc w:val="center"/>
              <w:rPr>
                <w:b/>
              </w:rPr>
            </w:pPr>
            <w:r>
              <w:rPr>
                <w:rFonts w:hint="eastAsia"/>
                <w:b/>
              </w:rPr>
              <w:t>（100%）</w:t>
            </w:r>
          </w:p>
        </w:tc>
        <w:tc>
          <w:tcPr>
            <w:tcW w:w="1218" w:type="dxa"/>
            <w:shd w:val="clear" w:color="auto" w:fill="auto"/>
          </w:tcPr>
          <w:p>
            <w:pPr>
              <w:jc w:val="center"/>
              <w:rPr>
                <w:b/>
              </w:rPr>
            </w:pPr>
            <w:r>
              <w:rPr>
                <w:rFonts w:hint="eastAsia"/>
                <w:b/>
              </w:rPr>
              <w:t>二级</w:t>
            </w:r>
          </w:p>
          <w:p>
            <w:pPr>
              <w:jc w:val="center"/>
              <w:rPr>
                <w:b/>
              </w:rPr>
            </w:pPr>
            <w:r>
              <w:rPr>
                <w:rFonts w:hint="eastAsia"/>
                <w:b/>
              </w:rPr>
              <w:t>（80%）</w:t>
            </w:r>
          </w:p>
        </w:tc>
        <w:tc>
          <w:tcPr>
            <w:tcW w:w="1062" w:type="dxa"/>
            <w:shd w:val="clear" w:color="auto" w:fill="auto"/>
          </w:tcPr>
          <w:p>
            <w:pPr>
              <w:jc w:val="center"/>
              <w:rPr>
                <w:b/>
              </w:rPr>
            </w:pPr>
            <w:r>
              <w:rPr>
                <w:rFonts w:hint="eastAsia"/>
                <w:b/>
              </w:rPr>
              <w:t>三级</w:t>
            </w:r>
          </w:p>
          <w:p>
            <w:pPr>
              <w:jc w:val="center"/>
              <w:rPr>
                <w:b/>
              </w:rPr>
            </w:pPr>
            <w:r>
              <w:rPr>
                <w:rFonts w:hint="eastAsia"/>
                <w:b/>
              </w:rPr>
              <w:t>（60%）</w:t>
            </w:r>
          </w:p>
        </w:tc>
        <w:tc>
          <w:tcPr>
            <w:tcW w:w="1105" w:type="dxa"/>
            <w:shd w:val="clear" w:color="auto" w:fill="auto"/>
          </w:tcPr>
          <w:p>
            <w:pPr>
              <w:jc w:val="center"/>
              <w:rPr>
                <w:b/>
              </w:rPr>
            </w:pPr>
            <w:r>
              <w:rPr>
                <w:rFonts w:hint="eastAsia"/>
                <w:b/>
              </w:rPr>
              <w:t>四级</w:t>
            </w:r>
          </w:p>
          <w:p>
            <w:pPr>
              <w:jc w:val="center"/>
              <w:rPr>
                <w:b/>
              </w:rPr>
            </w:pPr>
            <w:r>
              <w:rPr>
                <w:rFonts w:hint="eastAsia"/>
                <w:b/>
              </w:rPr>
              <w:t>（0）</w:t>
            </w:r>
          </w:p>
        </w:tc>
        <w:tc>
          <w:tcPr>
            <w:tcW w:w="587"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967" w:type="dxa"/>
            <w:shd w:val="clear" w:color="auto" w:fill="auto"/>
          </w:tcPr>
          <w:p>
            <w:pPr>
              <w:jc w:val="center"/>
            </w:pPr>
          </w:p>
          <w:p>
            <w:pPr>
              <w:jc w:val="center"/>
              <w:rPr>
                <w:b/>
              </w:rPr>
            </w:pPr>
            <w:r>
              <w:rPr>
                <w:rFonts w:hint="eastAsia"/>
                <w:b/>
              </w:rPr>
              <w:t>工作</w:t>
            </w:r>
          </w:p>
          <w:p>
            <w:pPr>
              <w:jc w:val="center"/>
            </w:pPr>
            <w:r>
              <w:rPr>
                <w:rFonts w:hint="eastAsia"/>
                <w:b/>
              </w:rPr>
              <w:t>成果</w:t>
            </w:r>
          </w:p>
        </w:tc>
        <w:tc>
          <w:tcPr>
            <w:tcW w:w="550" w:type="dxa"/>
            <w:shd w:val="clear" w:color="auto" w:fill="auto"/>
          </w:tcPr>
          <w:p/>
          <w:p/>
          <w:p>
            <w:r>
              <w:rPr>
                <w:rFonts w:hint="eastAsia"/>
              </w:rPr>
              <w:t>1</w:t>
            </w:r>
          </w:p>
          <w:p/>
          <w:p/>
        </w:tc>
        <w:tc>
          <w:tcPr>
            <w:tcW w:w="883" w:type="dxa"/>
            <w:shd w:val="clear" w:color="auto" w:fill="auto"/>
          </w:tcPr>
          <w:p/>
          <w:p/>
          <w:p>
            <w:r>
              <w:rPr>
                <w:rFonts w:hint="eastAsia"/>
              </w:rPr>
              <w:t>工作</w:t>
            </w:r>
          </w:p>
          <w:p>
            <w:r>
              <w:rPr>
                <w:rFonts w:hint="eastAsia"/>
              </w:rPr>
              <w:t>成果</w:t>
            </w:r>
          </w:p>
        </w:tc>
        <w:tc>
          <w:tcPr>
            <w:tcW w:w="685" w:type="dxa"/>
            <w:shd w:val="clear" w:color="auto" w:fill="auto"/>
          </w:tcPr>
          <w:p/>
          <w:p/>
          <w:p>
            <w:r>
              <w:rPr>
                <w:rFonts w:hint="eastAsia"/>
              </w:rPr>
              <w:t>5分</w:t>
            </w:r>
          </w:p>
        </w:tc>
        <w:tc>
          <w:tcPr>
            <w:tcW w:w="1465" w:type="dxa"/>
            <w:shd w:val="clear" w:color="auto" w:fill="auto"/>
          </w:tcPr>
          <w:p/>
        </w:tc>
        <w:tc>
          <w:tcPr>
            <w:tcW w:w="1218" w:type="dxa"/>
            <w:shd w:val="clear" w:color="auto" w:fill="auto"/>
          </w:tcPr>
          <w:p/>
        </w:tc>
        <w:tc>
          <w:tcPr>
            <w:tcW w:w="1062" w:type="dxa"/>
            <w:shd w:val="clear" w:color="auto" w:fill="auto"/>
          </w:tcPr>
          <w:p/>
        </w:tc>
        <w:tc>
          <w:tcPr>
            <w:tcW w:w="1105" w:type="dxa"/>
            <w:shd w:val="clear" w:color="auto" w:fill="auto"/>
          </w:tcP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restart"/>
            <w:shd w:val="clear" w:color="auto" w:fill="auto"/>
          </w:tcPr>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rPr>
                <w:b/>
              </w:rPr>
            </w:pPr>
            <w:r>
              <w:rPr>
                <w:rFonts w:hint="eastAsia"/>
                <w:b/>
              </w:rPr>
              <w:t>工作</w:t>
            </w:r>
          </w:p>
          <w:p>
            <w:pPr>
              <w:jc w:val="center"/>
            </w:pPr>
            <w:r>
              <w:rPr>
                <w:rFonts w:hint="eastAsia"/>
                <w:b/>
              </w:rPr>
              <w:t>能力</w:t>
            </w:r>
          </w:p>
        </w:tc>
        <w:tc>
          <w:tcPr>
            <w:tcW w:w="550" w:type="dxa"/>
            <w:shd w:val="clear" w:color="auto" w:fill="auto"/>
          </w:tcPr>
          <w:p/>
          <w:p/>
          <w:p>
            <w:r>
              <w:rPr>
                <w:rFonts w:hint="eastAsia"/>
              </w:rPr>
              <w:t>2</w:t>
            </w:r>
          </w:p>
        </w:tc>
        <w:tc>
          <w:tcPr>
            <w:tcW w:w="883" w:type="dxa"/>
            <w:shd w:val="clear" w:color="auto" w:fill="auto"/>
          </w:tcPr>
          <w:p>
            <w:r>
              <w:rPr>
                <w:rFonts w:hint="eastAsia"/>
              </w:rPr>
              <w:t>沟通</w:t>
            </w:r>
          </w:p>
          <w:p>
            <w:r>
              <w:rPr>
                <w:rFonts w:hint="eastAsia"/>
              </w:rPr>
              <w:t>能力</w:t>
            </w:r>
          </w:p>
        </w:tc>
        <w:tc>
          <w:tcPr>
            <w:tcW w:w="685" w:type="dxa"/>
            <w:shd w:val="clear" w:color="auto" w:fill="auto"/>
          </w:tcPr>
          <w:p/>
          <w:p/>
          <w:p>
            <w:r>
              <w:rPr>
                <w:rFonts w:hint="eastAsia"/>
              </w:rPr>
              <w:t>5分</w:t>
            </w:r>
          </w:p>
        </w:tc>
        <w:tc>
          <w:tcPr>
            <w:tcW w:w="1465" w:type="dxa"/>
            <w:shd w:val="clear" w:color="auto" w:fill="auto"/>
          </w:tcPr>
          <w:p>
            <w:r>
              <w:rPr>
                <w:rFonts w:hint="eastAsia"/>
              </w:rPr>
              <w:t>善于语言交际能力，能够与同事畅通交流</w:t>
            </w:r>
          </w:p>
        </w:tc>
        <w:tc>
          <w:tcPr>
            <w:tcW w:w="1218" w:type="dxa"/>
            <w:shd w:val="clear" w:color="auto" w:fill="auto"/>
          </w:tcPr>
          <w:p>
            <w:r>
              <w:rPr>
                <w:rFonts w:hint="eastAsia"/>
              </w:rPr>
              <w:t>偶尔与同事进行沟通交流</w:t>
            </w:r>
          </w:p>
        </w:tc>
        <w:tc>
          <w:tcPr>
            <w:tcW w:w="1062" w:type="dxa"/>
            <w:shd w:val="clear" w:color="auto" w:fill="auto"/>
          </w:tcPr>
          <w:p>
            <w:r>
              <w:rPr>
                <w:rFonts w:hint="eastAsia"/>
              </w:rPr>
              <w:t>不善于与同事沟通交流</w:t>
            </w:r>
          </w:p>
        </w:tc>
        <w:tc>
          <w:tcPr>
            <w:tcW w:w="1105" w:type="dxa"/>
            <w:shd w:val="clear" w:color="auto" w:fill="auto"/>
          </w:tcPr>
          <w:p>
            <w:r>
              <w:rPr>
                <w:rFonts w:hint="eastAsia"/>
              </w:rPr>
              <w:t>从不与同事沟通交流</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shd w:val="clear" w:color="auto" w:fill="auto"/>
          </w:tcPr>
          <w:p/>
          <w:p/>
          <w:p/>
          <w:p>
            <w:r>
              <w:rPr>
                <w:rFonts w:hint="eastAsia"/>
              </w:rPr>
              <w:t>3</w:t>
            </w:r>
          </w:p>
        </w:tc>
        <w:tc>
          <w:tcPr>
            <w:tcW w:w="883" w:type="dxa"/>
            <w:shd w:val="clear" w:color="auto" w:fill="auto"/>
          </w:tcPr>
          <w:p/>
          <w:p/>
          <w:p>
            <w:r>
              <w:rPr>
                <w:rFonts w:hint="eastAsia"/>
              </w:rPr>
              <w:t>学习</w:t>
            </w:r>
          </w:p>
          <w:p>
            <w:r>
              <w:rPr>
                <w:rFonts w:hint="eastAsia"/>
              </w:rPr>
              <w:t>能力</w:t>
            </w:r>
          </w:p>
        </w:tc>
        <w:tc>
          <w:tcPr>
            <w:tcW w:w="685" w:type="dxa"/>
            <w:shd w:val="clear" w:color="auto" w:fill="auto"/>
          </w:tcPr>
          <w:p/>
          <w:p/>
          <w:p/>
          <w:p>
            <w:r>
              <w:rPr>
                <w:rFonts w:hint="eastAsia"/>
              </w:rPr>
              <w:t>5分</w:t>
            </w:r>
          </w:p>
        </w:tc>
        <w:tc>
          <w:tcPr>
            <w:tcW w:w="1465" w:type="dxa"/>
            <w:shd w:val="clear" w:color="auto" w:fill="auto"/>
          </w:tcPr>
          <w:p>
            <w:r>
              <w:rPr>
                <w:rFonts w:hint="eastAsia"/>
              </w:rPr>
              <w:t>有强烈的学习意识，有明确的学习计划（与本职工作相关） </w:t>
            </w:r>
          </w:p>
        </w:tc>
        <w:tc>
          <w:tcPr>
            <w:tcW w:w="1218" w:type="dxa"/>
            <w:shd w:val="clear" w:color="auto" w:fill="auto"/>
          </w:tcPr>
          <w:p>
            <w:r>
              <w:rPr>
                <w:rFonts w:hint="eastAsia"/>
              </w:rPr>
              <w:t>注重学习，同样的错不会重复犯，能很快学会新知识新能力</w:t>
            </w:r>
          </w:p>
        </w:tc>
        <w:tc>
          <w:tcPr>
            <w:tcW w:w="1062" w:type="dxa"/>
            <w:shd w:val="clear" w:color="auto" w:fill="auto"/>
          </w:tcPr>
          <w:p>
            <w:r>
              <w:rPr>
                <w:rFonts w:hint="eastAsia"/>
              </w:rPr>
              <w:t>被动学习，能很快纠正错误，学习新知识能力一般，学得缓慢</w:t>
            </w:r>
          </w:p>
        </w:tc>
        <w:tc>
          <w:tcPr>
            <w:tcW w:w="1105" w:type="dxa"/>
            <w:shd w:val="clear" w:color="auto" w:fill="auto"/>
          </w:tcPr>
          <w:p>
            <w:r>
              <w:rPr>
                <w:rFonts w:hint="eastAsia"/>
              </w:rPr>
              <w:t>无学习意识，拒绝学</w:t>
            </w:r>
          </w:p>
          <w:p>
            <w:r>
              <w:rPr>
                <w:rFonts w:hint="eastAsia"/>
              </w:rPr>
              <w:t>习新知识 </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shd w:val="clear" w:color="auto" w:fill="auto"/>
          </w:tcPr>
          <w:p/>
          <w:p>
            <w:r>
              <w:rPr>
                <w:rFonts w:hint="eastAsia"/>
              </w:rPr>
              <w:t>4</w:t>
            </w:r>
          </w:p>
        </w:tc>
        <w:tc>
          <w:tcPr>
            <w:tcW w:w="883" w:type="dxa"/>
            <w:shd w:val="clear" w:color="auto" w:fill="auto"/>
          </w:tcPr>
          <w:p>
            <w:r>
              <w:rPr>
                <w:rFonts w:hint="eastAsia"/>
              </w:rPr>
              <w:t>执行力</w:t>
            </w:r>
          </w:p>
        </w:tc>
        <w:tc>
          <w:tcPr>
            <w:tcW w:w="685" w:type="dxa"/>
            <w:shd w:val="clear" w:color="auto" w:fill="auto"/>
          </w:tcPr>
          <w:p/>
          <w:p>
            <w:r>
              <w:rPr>
                <w:rFonts w:hint="eastAsia"/>
              </w:rPr>
              <w:t>5分</w:t>
            </w:r>
          </w:p>
        </w:tc>
        <w:tc>
          <w:tcPr>
            <w:tcW w:w="1465" w:type="dxa"/>
            <w:shd w:val="clear" w:color="auto" w:fill="auto"/>
          </w:tcPr>
          <w:p>
            <w:r>
              <w:rPr>
                <w:rFonts w:hint="eastAsia"/>
              </w:rPr>
              <w:t>能超出期望的完成工作</w:t>
            </w:r>
          </w:p>
        </w:tc>
        <w:tc>
          <w:tcPr>
            <w:tcW w:w="1218" w:type="dxa"/>
            <w:shd w:val="clear" w:color="auto" w:fill="auto"/>
          </w:tcPr>
          <w:p>
            <w:r>
              <w:rPr>
                <w:rFonts w:hint="eastAsia"/>
              </w:rPr>
              <w:t>能积极高效地完成</w:t>
            </w:r>
          </w:p>
        </w:tc>
        <w:tc>
          <w:tcPr>
            <w:tcW w:w="1062" w:type="dxa"/>
            <w:shd w:val="clear" w:color="auto" w:fill="auto"/>
          </w:tcPr>
          <w:p>
            <w:r>
              <w:rPr>
                <w:rFonts w:hint="eastAsia"/>
              </w:rPr>
              <w:t>基本都能按时完成 </w:t>
            </w:r>
          </w:p>
        </w:tc>
        <w:tc>
          <w:tcPr>
            <w:tcW w:w="1105" w:type="dxa"/>
            <w:shd w:val="clear" w:color="auto" w:fill="auto"/>
          </w:tcPr>
          <w:p>
            <w:r>
              <w:rPr>
                <w:rFonts w:hint="eastAsia"/>
              </w:rPr>
              <w:t>都无法完成</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shd w:val="clear" w:color="auto" w:fill="auto"/>
          </w:tcPr>
          <w:p/>
          <w:p>
            <w:r>
              <w:rPr>
                <w:rFonts w:hint="eastAsia"/>
              </w:rPr>
              <w:t>5</w:t>
            </w:r>
          </w:p>
        </w:tc>
        <w:tc>
          <w:tcPr>
            <w:tcW w:w="883" w:type="dxa"/>
            <w:shd w:val="clear" w:color="auto" w:fill="auto"/>
          </w:tcPr>
          <w:p>
            <w:r>
              <w:rPr>
                <w:rFonts w:hint="eastAsia"/>
              </w:rPr>
              <w:t>提升</w:t>
            </w:r>
          </w:p>
          <w:p>
            <w:r>
              <w:rPr>
                <w:rFonts w:hint="eastAsia"/>
              </w:rPr>
              <w:t>能力</w:t>
            </w:r>
          </w:p>
          <w:p>
            <w:r>
              <w:rPr>
                <w:rFonts w:hint="eastAsia"/>
              </w:rPr>
              <w:t>及空间</w:t>
            </w:r>
          </w:p>
        </w:tc>
        <w:tc>
          <w:tcPr>
            <w:tcW w:w="685" w:type="dxa"/>
            <w:shd w:val="clear" w:color="auto" w:fill="auto"/>
          </w:tcPr>
          <w:p/>
          <w:p>
            <w:r>
              <w:rPr>
                <w:rFonts w:hint="eastAsia"/>
              </w:rPr>
              <w:t>5分</w:t>
            </w:r>
          </w:p>
        </w:tc>
        <w:tc>
          <w:tcPr>
            <w:tcW w:w="1465" w:type="dxa"/>
            <w:shd w:val="clear" w:color="auto" w:fill="auto"/>
          </w:tcPr>
          <w:p>
            <w:r>
              <w:rPr>
                <w:rFonts w:hint="eastAsia"/>
              </w:rPr>
              <w:t>有较大的提升能力和空间</w:t>
            </w:r>
          </w:p>
        </w:tc>
        <w:tc>
          <w:tcPr>
            <w:tcW w:w="1218" w:type="dxa"/>
            <w:shd w:val="clear" w:color="auto" w:fill="auto"/>
          </w:tcPr>
          <w:p>
            <w:r>
              <w:rPr>
                <w:rFonts w:hint="eastAsia"/>
              </w:rPr>
              <w:t>有提升能力和空间</w:t>
            </w:r>
          </w:p>
        </w:tc>
        <w:tc>
          <w:tcPr>
            <w:tcW w:w="1062" w:type="dxa"/>
            <w:shd w:val="clear" w:color="auto" w:fill="auto"/>
          </w:tcPr>
          <w:p>
            <w:r>
              <w:rPr>
                <w:rFonts w:hint="eastAsia"/>
              </w:rPr>
              <w:t>基本没有提升能力和空间</w:t>
            </w:r>
          </w:p>
        </w:tc>
        <w:tc>
          <w:tcPr>
            <w:tcW w:w="1105" w:type="dxa"/>
            <w:shd w:val="clear" w:color="auto" w:fill="auto"/>
          </w:tcPr>
          <w:p>
            <w:r>
              <w:rPr>
                <w:rFonts w:hint="eastAsia"/>
              </w:rPr>
              <w:t>完全没有提升能力和空间</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restart"/>
            <w:shd w:val="clear" w:color="auto" w:fill="auto"/>
          </w:tcPr>
          <w:p>
            <w:pPr>
              <w:jc w:val="center"/>
            </w:pPr>
          </w:p>
          <w:p>
            <w:pPr>
              <w:jc w:val="center"/>
            </w:pPr>
          </w:p>
          <w:p>
            <w:pPr>
              <w:jc w:val="center"/>
            </w:pPr>
          </w:p>
          <w:p>
            <w:pPr>
              <w:jc w:val="center"/>
            </w:pPr>
          </w:p>
          <w:p>
            <w:pPr>
              <w:jc w:val="center"/>
            </w:pPr>
          </w:p>
          <w:p>
            <w:pPr>
              <w:jc w:val="center"/>
            </w:pPr>
          </w:p>
          <w:p>
            <w:pPr>
              <w:jc w:val="center"/>
            </w:pPr>
          </w:p>
          <w:p>
            <w:pPr>
              <w:jc w:val="center"/>
              <w:rPr>
                <w:b/>
              </w:rPr>
            </w:pPr>
          </w:p>
          <w:p>
            <w:pPr>
              <w:jc w:val="center"/>
              <w:rPr>
                <w:b/>
              </w:rPr>
            </w:pPr>
            <w:r>
              <w:rPr>
                <w:rFonts w:hint="eastAsia"/>
                <w:b/>
              </w:rPr>
              <w:t>工作</w:t>
            </w:r>
          </w:p>
          <w:p>
            <w:pPr>
              <w:jc w:val="center"/>
            </w:pPr>
            <w:r>
              <w:rPr>
                <w:rFonts w:hint="eastAsia"/>
                <w:b/>
              </w:rPr>
              <w:t>态度</w:t>
            </w:r>
          </w:p>
        </w:tc>
        <w:tc>
          <w:tcPr>
            <w:tcW w:w="550" w:type="dxa"/>
            <w:shd w:val="clear" w:color="auto" w:fill="auto"/>
          </w:tcPr>
          <w:p/>
          <w:p>
            <w:r>
              <w:rPr>
                <w:rFonts w:hint="eastAsia"/>
              </w:rPr>
              <w:t>6</w:t>
            </w:r>
          </w:p>
        </w:tc>
        <w:tc>
          <w:tcPr>
            <w:tcW w:w="883" w:type="dxa"/>
            <w:shd w:val="clear" w:color="auto" w:fill="auto"/>
          </w:tcPr>
          <w:p>
            <w:r>
              <w:rPr>
                <w:rFonts w:hint="eastAsia"/>
              </w:rPr>
              <w:t>考勤</w:t>
            </w:r>
          </w:p>
          <w:p>
            <w:r>
              <w:rPr>
                <w:rFonts w:hint="eastAsia"/>
              </w:rPr>
              <w:t>情况</w:t>
            </w:r>
          </w:p>
        </w:tc>
        <w:tc>
          <w:tcPr>
            <w:tcW w:w="685" w:type="dxa"/>
            <w:shd w:val="clear" w:color="auto" w:fill="auto"/>
          </w:tcPr>
          <w:p/>
          <w:p>
            <w:r>
              <w:rPr>
                <w:rFonts w:hint="eastAsia"/>
              </w:rPr>
              <w:t>5分</w:t>
            </w:r>
          </w:p>
        </w:tc>
        <w:tc>
          <w:tcPr>
            <w:tcW w:w="1465" w:type="dxa"/>
            <w:shd w:val="clear" w:color="auto" w:fill="auto"/>
          </w:tcPr>
          <w:p>
            <w:r>
              <w:rPr>
                <w:rFonts w:hint="eastAsia"/>
              </w:rPr>
              <w:t>从不迟到早退，不无故旷班</w:t>
            </w:r>
          </w:p>
        </w:tc>
        <w:tc>
          <w:tcPr>
            <w:tcW w:w="1218" w:type="dxa"/>
            <w:shd w:val="clear" w:color="auto" w:fill="auto"/>
          </w:tcPr>
          <w:p>
            <w:r>
              <w:rPr>
                <w:rFonts w:hint="eastAsia"/>
              </w:rPr>
              <w:t>基本不迟到早退和无故旷班</w:t>
            </w:r>
          </w:p>
        </w:tc>
        <w:tc>
          <w:tcPr>
            <w:tcW w:w="1062" w:type="dxa"/>
            <w:shd w:val="clear" w:color="auto" w:fill="auto"/>
          </w:tcPr>
          <w:p>
            <w:r>
              <w:rPr>
                <w:rFonts w:hint="eastAsia"/>
              </w:rPr>
              <w:t xml:space="preserve">偶尔迟到早退或旷班 </w:t>
            </w:r>
          </w:p>
        </w:tc>
        <w:tc>
          <w:tcPr>
            <w:tcW w:w="1105" w:type="dxa"/>
            <w:shd w:val="clear" w:color="auto" w:fill="auto"/>
          </w:tcPr>
          <w:p>
            <w:r>
              <w:rPr>
                <w:rFonts w:hint="eastAsia"/>
              </w:rPr>
              <w:t>经常迟到早退和旷班</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shd w:val="clear" w:color="auto" w:fill="auto"/>
          </w:tcPr>
          <w:p/>
          <w:p/>
          <w:p>
            <w:r>
              <w:rPr>
                <w:rFonts w:hint="eastAsia"/>
              </w:rPr>
              <w:t>7</w:t>
            </w:r>
          </w:p>
        </w:tc>
        <w:tc>
          <w:tcPr>
            <w:tcW w:w="883" w:type="dxa"/>
            <w:shd w:val="clear" w:color="auto" w:fill="auto"/>
          </w:tcPr>
          <w:p/>
          <w:p>
            <w:r>
              <w:rPr>
                <w:rFonts w:hint="eastAsia"/>
              </w:rPr>
              <w:t>敬业</w:t>
            </w:r>
          </w:p>
          <w:p>
            <w:r>
              <w:rPr>
                <w:rFonts w:hint="eastAsia"/>
              </w:rPr>
              <w:t>精神</w:t>
            </w:r>
          </w:p>
        </w:tc>
        <w:tc>
          <w:tcPr>
            <w:tcW w:w="685" w:type="dxa"/>
            <w:shd w:val="clear" w:color="auto" w:fill="auto"/>
          </w:tcPr>
          <w:p/>
          <w:p/>
          <w:p>
            <w:r>
              <w:rPr>
                <w:rFonts w:hint="eastAsia"/>
              </w:rPr>
              <w:t>5分</w:t>
            </w:r>
          </w:p>
        </w:tc>
        <w:tc>
          <w:tcPr>
            <w:tcW w:w="1465" w:type="dxa"/>
            <w:shd w:val="clear" w:color="auto" w:fill="auto"/>
          </w:tcPr>
          <w:p>
            <w:r>
              <w:rPr>
                <w:rFonts w:hint="eastAsia"/>
              </w:rPr>
              <w:t>积极面对工作困难，主动思考解决方案</w:t>
            </w:r>
          </w:p>
        </w:tc>
        <w:tc>
          <w:tcPr>
            <w:tcW w:w="1218" w:type="dxa"/>
            <w:shd w:val="clear" w:color="auto" w:fill="auto"/>
          </w:tcPr>
          <w:p>
            <w:r>
              <w:rPr>
                <w:rFonts w:hint="eastAsia"/>
              </w:rPr>
              <w:t>有正确的工作态度，时而有些工作情绪 </w:t>
            </w:r>
          </w:p>
        </w:tc>
        <w:tc>
          <w:tcPr>
            <w:tcW w:w="1062" w:type="dxa"/>
            <w:shd w:val="clear" w:color="auto" w:fill="auto"/>
          </w:tcPr>
          <w:p>
            <w:r>
              <w:rPr>
                <w:rFonts w:hint="eastAsia"/>
              </w:rPr>
              <w:t>有发牢骚现象，需要领导的不断教导</w:t>
            </w:r>
          </w:p>
        </w:tc>
        <w:tc>
          <w:tcPr>
            <w:tcW w:w="1105" w:type="dxa"/>
            <w:shd w:val="clear" w:color="auto" w:fill="auto"/>
          </w:tcPr>
          <w:p>
            <w:r>
              <w:rPr>
                <w:rFonts w:hint="eastAsia"/>
              </w:rPr>
              <w:t>消极怠工，工作延误</w:t>
            </w:r>
          </w:p>
          <w:p>
            <w:r>
              <w:rPr>
                <w:rFonts w:hint="eastAsia"/>
              </w:rPr>
              <w:t>或拒绝接受工作</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shd w:val="clear" w:color="auto" w:fill="auto"/>
          </w:tcPr>
          <w:p/>
          <w:p/>
          <w:p/>
          <w:p>
            <w:r>
              <w:rPr>
                <w:rFonts w:hint="eastAsia"/>
              </w:rPr>
              <w:t>8</w:t>
            </w:r>
          </w:p>
        </w:tc>
        <w:tc>
          <w:tcPr>
            <w:tcW w:w="883" w:type="dxa"/>
            <w:shd w:val="clear" w:color="auto" w:fill="auto"/>
          </w:tcPr>
          <w:p/>
          <w:p/>
          <w:p/>
          <w:p>
            <w:r>
              <w:rPr>
                <w:rFonts w:hint="eastAsia"/>
              </w:rPr>
              <w:t>责任感</w:t>
            </w:r>
          </w:p>
        </w:tc>
        <w:tc>
          <w:tcPr>
            <w:tcW w:w="685" w:type="dxa"/>
            <w:shd w:val="clear" w:color="auto" w:fill="auto"/>
          </w:tcPr>
          <w:p/>
          <w:p/>
          <w:p/>
          <w:p>
            <w:r>
              <w:rPr>
                <w:rFonts w:hint="eastAsia"/>
              </w:rPr>
              <w:t>5分</w:t>
            </w:r>
          </w:p>
        </w:tc>
        <w:tc>
          <w:tcPr>
            <w:tcW w:w="1465" w:type="dxa"/>
            <w:shd w:val="clear" w:color="auto" w:fill="auto"/>
          </w:tcPr>
          <w:p>
            <w:r>
              <w:rPr>
                <w:rFonts w:hint="eastAsia"/>
              </w:rPr>
              <w:t>对本职工作责任心强，积极主动完成工作，并能督促他人共同完成</w:t>
            </w:r>
          </w:p>
        </w:tc>
        <w:tc>
          <w:tcPr>
            <w:tcW w:w="1218" w:type="dxa"/>
            <w:shd w:val="clear" w:color="auto" w:fill="auto"/>
          </w:tcPr>
          <w:p>
            <w:r>
              <w:rPr>
                <w:rFonts w:hint="eastAsia"/>
              </w:rPr>
              <w:t>工作责任心较强，无推诿现象，能积极主动完成工作</w:t>
            </w:r>
          </w:p>
        </w:tc>
        <w:tc>
          <w:tcPr>
            <w:tcW w:w="1062" w:type="dxa"/>
            <w:shd w:val="clear" w:color="auto" w:fill="auto"/>
          </w:tcPr>
          <w:p>
            <w:r>
              <w:rPr>
                <w:rFonts w:hint="eastAsia"/>
              </w:rPr>
              <w:t>有工作责任心，偶尔疏忽但及时补救</w:t>
            </w:r>
          </w:p>
        </w:tc>
        <w:tc>
          <w:tcPr>
            <w:tcW w:w="1105" w:type="dxa"/>
            <w:shd w:val="clear" w:color="auto" w:fill="auto"/>
          </w:tcPr>
          <w:p>
            <w:r>
              <w:rPr>
                <w:rFonts w:hint="eastAsia"/>
              </w:rPr>
              <w:t>无责任心，麻木，工作中屡犯错误</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shd w:val="clear" w:color="auto" w:fill="auto"/>
          </w:tcPr>
          <w:p>
            <w:r>
              <w:rPr>
                <w:rFonts w:hint="eastAsia"/>
              </w:rPr>
              <w:t>9</w:t>
            </w:r>
          </w:p>
        </w:tc>
        <w:tc>
          <w:tcPr>
            <w:tcW w:w="883" w:type="dxa"/>
            <w:shd w:val="clear" w:color="auto" w:fill="auto"/>
          </w:tcPr>
          <w:p>
            <w:r>
              <w:rPr>
                <w:rFonts w:hint="eastAsia"/>
              </w:rPr>
              <w:t>协调</w:t>
            </w:r>
          </w:p>
          <w:p>
            <w:r>
              <w:rPr>
                <w:rFonts w:hint="eastAsia"/>
              </w:rPr>
              <w:t>管理</w:t>
            </w:r>
          </w:p>
          <w:p>
            <w:r>
              <w:rPr>
                <w:rFonts w:hint="eastAsia"/>
              </w:rPr>
              <w:t>能力</w:t>
            </w:r>
          </w:p>
        </w:tc>
        <w:tc>
          <w:tcPr>
            <w:tcW w:w="685" w:type="dxa"/>
            <w:shd w:val="clear" w:color="auto" w:fill="auto"/>
          </w:tcPr>
          <w:p>
            <w:r>
              <w:rPr>
                <w:rFonts w:hint="eastAsia"/>
              </w:rPr>
              <w:t>5分</w:t>
            </w:r>
          </w:p>
        </w:tc>
        <w:tc>
          <w:tcPr>
            <w:tcW w:w="1465" w:type="dxa"/>
            <w:shd w:val="clear" w:color="auto" w:fill="auto"/>
          </w:tcPr>
          <w:p>
            <w:r>
              <w:rPr>
                <w:rFonts w:hint="eastAsia"/>
              </w:rPr>
              <w:t>有较强的协调管理能力</w:t>
            </w:r>
          </w:p>
        </w:tc>
        <w:tc>
          <w:tcPr>
            <w:tcW w:w="1218" w:type="dxa"/>
            <w:shd w:val="clear" w:color="auto" w:fill="auto"/>
          </w:tcPr>
          <w:p>
            <w:r>
              <w:rPr>
                <w:rFonts w:hint="eastAsia"/>
              </w:rPr>
              <w:t>有一定的协调管理能力</w:t>
            </w:r>
          </w:p>
        </w:tc>
        <w:tc>
          <w:tcPr>
            <w:tcW w:w="1062" w:type="dxa"/>
            <w:shd w:val="clear" w:color="auto" w:fill="auto"/>
          </w:tcPr>
          <w:p>
            <w:r>
              <w:rPr>
                <w:rFonts w:hint="eastAsia"/>
              </w:rPr>
              <w:t>协调管理能力较弱</w:t>
            </w:r>
          </w:p>
        </w:tc>
        <w:tc>
          <w:tcPr>
            <w:tcW w:w="1105" w:type="dxa"/>
            <w:shd w:val="clear" w:color="auto" w:fill="auto"/>
          </w:tcPr>
          <w:p>
            <w:r>
              <w:rPr>
                <w:rFonts w:hint="eastAsia"/>
              </w:rPr>
              <w:t>不具备协调管理能力</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shd w:val="clear" w:color="auto" w:fill="auto"/>
          </w:tcPr>
          <w:p>
            <w:r>
              <w:rPr>
                <w:rFonts w:hint="eastAsia"/>
              </w:rPr>
              <w:t>10</w:t>
            </w:r>
          </w:p>
        </w:tc>
        <w:tc>
          <w:tcPr>
            <w:tcW w:w="883" w:type="dxa"/>
            <w:shd w:val="clear" w:color="auto" w:fill="auto"/>
          </w:tcPr>
          <w:p>
            <w:r>
              <w:rPr>
                <w:rFonts w:hint="eastAsia"/>
              </w:rPr>
              <w:t>职业</w:t>
            </w:r>
          </w:p>
          <w:p>
            <w:r>
              <w:rPr>
                <w:rFonts w:hint="eastAsia"/>
              </w:rPr>
              <w:t>品德</w:t>
            </w:r>
          </w:p>
        </w:tc>
        <w:tc>
          <w:tcPr>
            <w:tcW w:w="685" w:type="dxa"/>
            <w:shd w:val="clear" w:color="auto" w:fill="auto"/>
          </w:tcPr>
          <w:p>
            <w:r>
              <w:rPr>
                <w:rFonts w:hint="eastAsia"/>
              </w:rPr>
              <w:t>5分</w:t>
            </w:r>
          </w:p>
        </w:tc>
        <w:tc>
          <w:tcPr>
            <w:tcW w:w="1465" w:type="dxa"/>
            <w:shd w:val="clear" w:color="auto" w:fill="auto"/>
          </w:tcPr>
          <w:p>
            <w:r>
              <w:rPr>
                <w:rFonts w:hint="eastAsia"/>
              </w:rPr>
              <w:t>爱岗敬业</w:t>
            </w:r>
          </w:p>
        </w:tc>
        <w:tc>
          <w:tcPr>
            <w:tcW w:w="1218" w:type="dxa"/>
            <w:shd w:val="clear" w:color="auto" w:fill="auto"/>
          </w:tcPr>
          <w:p>
            <w:r>
              <w:rPr>
                <w:rFonts w:hint="eastAsia"/>
              </w:rPr>
              <w:t>基本爱岗敬业</w:t>
            </w:r>
          </w:p>
        </w:tc>
        <w:tc>
          <w:tcPr>
            <w:tcW w:w="1062" w:type="dxa"/>
            <w:shd w:val="clear" w:color="auto" w:fill="auto"/>
          </w:tcPr>
          <w:p>
            <w:r>
              <w:rPr>
                <w:rFonts w:hint="eastAsia"/>
              </w:rPr>
              <w:t>偶尔懈怠</w:t>
            </w:r>
          </w:p>
        </w:tc>
        <w:tc>
          <w:tcPr>
            <w:tcW w:w="1105" w:type="dxa"/>
            <w:shd w:val="clear" w:color="auto" w:fill="auto"/>
          </w:tcPr>
          <w:p>
            <w:r>
              <w:rPr>
                <w:rFonts w:hint="eastAsia"/>
              </w:rPr>
              <w:t>不爱岗敬业</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restart"/>
            <w:shd w:val="clear" w:color="auto" w:fill="auto"/>
          </w:tcPr>
          <w:p>
            <w:pPr>
              <w:jc w:val="center"/>
            </w:pPr>
          </w:p>
          <w:p>
            <w:pPr>
              <w:jc w:val="center"/>
            </w:pPr>
          </w:p>
          <w:p>
            <w:pPr>
              <w:jc w:val="center"/>
            </w:pPr>
          </w:p>
          <w:p>
            <w:pPr>
              <w:jc w:val="center"/>
              <w:rPr>
                <w:b/>
              </w:rPr>
            </w:pPr>
            <w:r>
              <w:rPr>
                <w:rFonts w:hint="eastAsia"/>
                <w:b/>
              </w:rPr>
              <w:t>工作</w:t>
            </w:r>
          </w:p>
          <w:p>
            <w:pPr>
              <w:jc w:val="center"/>
            </w:pPr>
            <w:r>
              <w:rPr>
                <w:rFonts w:hint="eastAsia"/>
                <w:b/>
              </w:rPr>
              <w:t>胜任度</w:t>
            </w:r>
          </w:p>
        </w:tc>
        <w:tc>
          <w:tcPr>
            <w:tcW w:w="550" w:type="dxa"/>
            <w:shd w:val="clear" w:color="auto" w:fill="auto"/>
          </w:tcPr>
          <w:p>
            <w:r>
              <w:rPr>
                <w:rFonts w:hint="eastAsia"/>
              </w:rPr>
              <w:t>11</w:t>
            </w:r>
          </w:p>
        </w:tc>
        <w:tc>
          <w:tcPr>
            <w:tcW w:w="883" w:type="dxa"/>
            <w:shd w:val="clear" w:color="auto" w:fill="auto"/>
          </w:tcPr>
          <w:p>
            <w:r>
              <w:rPr>
                <w:rFonts w:hint="eastAsia"/>
              </w:rPr>
              <w:t>工作</w:t>
            </w:r>
          </w:p>
          <w:p>
            <w:r>
              <w:rPr>
                <w:rFonts w:hint="eastAsia"/>
              </w:rPr>
              <w:t>效率</w:t>
            </w:r>
          </w:p>
          <w:p>
            <w:r>
              <w:rPr>
                <w:rFonts w:hint="eastAsia"/>
              </w:rPr>
              <w:t>及质量</w:t>
            </w:r>
          </w:p>
        </w:tc>
        <w:tc>
          <w:tcPr>
            <w:tcW w:w="685" w:type="dxa"/>
            <w:shd w:val="clear" w:color="auto" w:fill="auto"/>
          </w:tcPr>
          <w:p>
            <w:r>
              <w:rPr>
                <w:rFonts w:hint="eastAsia"/>
              </w:rPr>
              <w:t>5分</w:t>
            </w:r>
          </w:p>
        </w:tc>
        <w:tc>
          <w:tcPr>
            <w:tcW w:w="1465" w:type="dxa"/>
            <w:shd w:val="clear" w:color="auto" w:fill="auto"/>
          </w:tcPr>
          <w:p>
            <w:r>
              <w:rPr>
                <w:rFonts w:hint="eastAsia"/>
              </w:rPr>
              <w:t>工作效率和质量极高</w:t>
            </w:r>
          </w:p>
        </w:tc>
        <w:tc>
          <w:tcPr>
            <w:tcW w:w="1218" w:type="dxa"/>
            <w:shd w:val="clear" w:color="auto" w:fill="auto"/>
          </w:tcPr>
          <w:p>
            <w:r>
              <w:rPr>
                <w:rFonts w:hint="eastAsia"/>
              </w:rPr>
              <w:t>工作效率和质量很高</w:t>
            </w:r>
          </w:p>
        </w:tc>
        <w:tc>
          <w:tcPr>
            <w:tcW w:w="1062" w:type="dxa"/>
            <w:shd w:val="clear" w:color="auto" w:fill="auto"/>
          </w:tcPr>
          <w:p>
            <w:r>
              <w:rPr>
                <w:rFonts w:hint="eastAsia"/>
              </w:rPr>
              <w:t>工作效率和质量不高</w:t>
            </w:r>
          </w:p>
        </w:tc>
        <w:tc>
          <w:tcPr>
            <w:tcW w:w="1105" w:type="dxa"/>
            <w:shd w:val="clear" w:color="auto" w:fill="auto"/>
          </w:tcPr>
          <w:p>
            <w:r>
              <w:rPr>
                <w:rFonts w:hint="eastAsia"/>
              </w:rPr>
              <w:t>工作效率和质量很低</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shd w:val="clear" w:color="auto" w:fill="auto"/>
          </w:tcPr>
          <w:p>
            <w:r>
              <w:rPr>
                <w:rFonts w:hint="eastAsia"/>
              </w:rPr>
              <w:t>12</w:t>
            </w:r>
          </w:p>
        </w:tc>
        <w:tc>
          <w:tcPr>
            <w:tcW w:w="883" w:type="dxa"/>
            <w:shd w:val="clear" w:color="auto" w:fill="auto"/>
          </w:tcPr>
          <w:p>
            <w:r>
              <w:rPr>
                <w:rFonts w:hint="eastAsia"/>
              </w:rPr>
              <w:t>独立工作能力</w:t>
            </w:r>
          </w:p>
        </w:tc>
        <w:tc>
          <w:tcPr>
            <w:tcW w:w="685" w:type="dxa"/>
            <w:shd w:val="clear" w:color="auto" w:fill="auto"/>
          </w:tcPr>
          <w:p>
            <w:r>
              <w:rPr>
                <w:rFonts w:hint="eastAsia"/>
              </w:rPr>
              <w:t>5分</w:t>
            </w:r>
          </w:p>
        </w:tc>
        <w:tc>
          <w:tcPr>
            <w:tcW w:w="1465" w:type="dxa"/>
            <w:shd w:val="clear" w:color="auto" w:fill="auto"/>
          </w:tcPr>
          <w:p>
            <w:r>
              <w:rPr>
                <w:rFonts w:hint="eastAsia"/>
              </w:rPr>
              <w:t>有很强的独立工作能力</w:t>
            </w:r>
          </w:p>
        </w:tc>
        <w:tc>
          <w:tcPr>
            <w:tcW w:w="1218" w:type="dxa"/>
            <w:shd w:val="clear" w:color="auto" w:fill="auto"/>
          </w:tcPr>
          <w:p>
            <w:r>
              <w:rPr>
                <w:rFonts w:hint="eastAsia"/>
              </w:rPr>
              <w:t>有较强的独立工作能力</w:t>
            </w:r>
          </w:p>
        </w:tc>
        <w:tc>
          <w:tcPr>
            <w:tcW w:w="1062" w:type="dxa"/>
            <w:shd w:val="clear" w:color="auto" w:fill="auto"/>
          </w:tcPr>
          <w:p>
            <w:r>
              <w:rPr>
                <w:rFonts w:hint="eastAsia"/>
              </w:rPr>
              <w:t>独立工作能力低</w:t>
            </w:r>
          </w:p>
        </w:tc>
        <w:tc>
          <w:tcPr>
            <w:tcW w:w="1105" w:type="dxa"/>
            <w:shd w:val="clear" w:color="auto" w:fill="auto"/>
          </w:tcPr>
          <w:p>
            <w:r>
              <w:rPr>
                <w:rFonts w:hint="eastAsia"/>
              </w:rPr>
              <w:t>没有独立工作的能力</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shd w:val="clear" w:color="auto" w:fill="auto"/>
          </w:tcPr>
          <w:p>
            <w:r>
              <w:rPr>
                <w:rFonts w:hint="eastAsia"/>
              </w:rPr>
              <w:t>13</w:t>
            </w:r>
          </w:p>
        </w:tc>
        <w:tc>
          <w:tcPr>
            <w:tcW w:w="883" w:type="dxa"/>
            <w:shd w:val="clear" w:color="auto" w:fill="auto"/>
          </w:tcPr>
          <w:p>
            <w:r>
              <w:rPr>
                <w:rFonts w:hint="eastAsia"/>
              </w:rPr>
              <w:t>工作</w:t>
            </w:r>
          </w:p>
          <w:p>
            <w:r>
              <w:rPr>
                <w:rFonts w:hint="eastAsia"/>
              </w:rPr>
              <w:t>积极</w:t>
            </w:r>
          </w:p>
          <w:p>
            <w:r>
              <w:rPr>
                <w:rFonts w:hint="eastAsia"/>
              </w:rPr>
              <w:t>性程度</w:t>
            </w:r>
          </w:p>
        </w:tc>
        <w:tc>
          <w:tcPr>
            <w:tcW w:w="685" w:type="dxa"/>
            <w:shd w:val="clear" w:color="auto" w:fill="auto"/>
          </w:tcPr>
          <w:p>
            <w:r>
              <w:rPr>
                <w:rFonts w:hint="eastAsia"/>
              </w:rPr>
              <w:t>5分</w:t>
            </w:r>
          </w:p>
        </w:tc>
        <w:tc>
          <w:tcPr>
            <w:tcW w:w="1465" w:type="dxa"/>
            <w:shd w:val="clear" w:color="auto" w:fill="auto"/>
          </w:tcPr>
          <w:p>
            <w:r>
              <w:rPr>
                <w:rFonts w:hint="eastAsia"/>
              </w:rPr>
              <w:t>工作积极性很高</w:t>
            </w:r>
          </w:p>
        </w:tc>
        <w:tc>
          <w:tcPr>
            <w:tcW w:w="1218" w:type="dxa"/>
            <w:shd w:val="clear" w:color="auto" w:fill="auto"/>
          </w:tcPr>
          <w:p>
            <w:r>
              <w:rPr>
                <w:rFonts w:hint="eastAsia"/>
              </w:rPr>
              <w:t>工作积极性较高</w:t>
            </w:r>
          </w:p>
        </w:tc>
        <w:tc>
          <w:tcPr>
            <w:tcW w:w="1062" w:type="dxa"/>
            <w:shd w:val="clear" w:color="auto" w:fill="auto"/>
          </w:tcPr>
          <w:p>
            <w:r>
              <w:rPr>
                <w:rFonts w:hint="eastAsia"/>
              </w:rPr>
              <w:t>工作积极性不高</w:t>
            </w:r>
          </w:p>
        </w:tc>
        <w:tc>
          <w:tcPr>
            <w:tcW w:w="1105" w:type="dxa"/>
            <w:shd w:val="clear" w:color="auto" w:fill="auto"/>
          </w:tcPr>
          <w:p>
            <w:r>
              <w:rPr>
                <w:rFonts w:hint="eastAsia"/>
              </w:rPr>
              <w:t>工作积极性很低</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restart"/>
            <w:shd w:val="clear" w:color="auto" w:fill="auto"/>
          </w:tcPr>
          <w:p>
            <w:pPr>
              <w:jc w:val="center"/>
            </w:pPr>
          </w:p>
          <w:p>
            <w:pPr>
              <w:jc w:val="center"/>
            </w:pPr>
          </w:p>
          <w:p>
            <w:pPr>
              <w:jc w:val="center"/>
            </w:pPr>
          </w:p>
          <w:p>
            <w:pPr>
              <w:jc w:val="center"/>
            </w:pPr>
          </w:p>
          <w:p>
            <w:pPr>
              <w:jc w:val="center"/>
            </w:pPr>
          </w:p>
          <w:p>
            <w:pPr>
              <w:jc w:val="center"/>
            </w:pPr>
          </w:p>
          <w:p>
            <w:pPr>
              <w:jc w:val="center"/>
              <w:rPr>
                <w:b/>
              </w:rPr>
            </w:pPr>
            <w:r>
              <w:rPr>
                <w:rFonts w:hint="eastAsia"/>
                <w:b/>
              </w:rPr>
              <w:t>岗位</w:t>
            </w:r>
          </w:p>
          <w:p>
            <w:pPr>
              <w:jc w:val="center"/>
            </w:pPr>
            <w:r>
              <w:rPr>
                <w:rFonts w:hint="eastAsia"/>
                <w:b/>
              </w:rPr>
              <w:t>胜任度</w:t>
            </w:r>
          </w:p>
        </w:tc>
        <w:tc>
          <w:tcPr>
            <w:tcW w:w="550" w:type="dxa"/>
            <w:shd w:val="clear" w:color="auto" w:fill="auto"/>
          </w:tcPr>
          <w:p/>
          <w:p/>
          <w:p>
            <w:r>
              <w:rPr>
                <w:rFonts w:hint="eastAsia"/>
              </w:rPr>
              <w:t>14</w:t>
            </w:r>
          </w:p>
        </w:tc>
        <w:tc>
          <w:tcPr>
            <w:tcW w:w="883" w:type="dxa"/>
            <w:shd w:val="clear" w:color="auto" w:fill="auto"/>
          </w:tcPr>
          <w:p>
            <w:r>
              <w:rPr>
                <w:rFonts w:hint="eastAsia"/>
              </w:rPr>
              <w:t>专业</w:t>
            </w:r>
          </w:p>
          <w:p>
            <w:r>
              <w:rPr>
                <w:rFonts w:hint="eastAsia"/>
              </w:rPr>
              <w:t>知识</w:t>
            </w:r>
          </w:p>
          <w:p>
            <w:r>
              <w:rPr>
                <w:rFonts w:hint="eastAsia"/>
              </w:rPr>
              <w:t>和技能</w:t>
            </w:r>
          </w:p>
        </w:tc>
        <w:tc>
          <w:tcPr>
            <w:tcW w:w="685" w:type="dxa"/>
            <w:shd w:val="clear" w:color="auto" w:fill="auto"/>
          </w:tcPr>
          <w:p/>
          <w:p/>
          <w:p/>
          <w:p>
            <w:r>
              <w:rPr>
                <w:rFonts w:hint="eastAsia"/>
              </w:rPr>
              <w:t>5分</w:t>
            </w:r>
          </w:p>
        </w:tc>
        <w:tc>
          <w:tcPr>
            <w:tcW w:w="1465" w:type="dxa"/>
            <w:shd w:val="clear" w:color="auto" w:fill="auto"/>
          </w:tcPr>
          <w:p>
            <w:r>
              <w:rPr>
                <w:rFonts w:hint="eastAsia"/>
              </w:rPr>
              <w:t>熟知岗位技能，能完成工作无差错，且能培训他人</w:t>
            </w:r>
          </w:p>
        </w:tc>
        <w:tc>
          <w:tcPr>
            <w:tcW w:w="1218" w:type="dxa"/>
            <w:shd w:val="clear" w:color="auto" w:fill="auto"/>
          </w:tcPr>
          <w:p>
            <w:r>
              <w:rPr>
                <w:rFonts w:hint="eastAsia"/>
              </w:rPr>
              <w:t>掌握岗位技能，并能无</w:t>
            </w:r>
          </w:p>
          <w:p>
            <w:r>
              <w:rPr>
                <w:rFonts w:hint="eastAsia"/>
              </w:rPr>
              <w:t>差错完成工作</w:t>
            </w:r>
          </w:p>
        </w:tc>
        <w:tc>
          <w:tcPr>
            <w:tcW w:w="1062" w:type="dxa"/>
            <w:shd w:val="clear" w:color="auto" w:fill="auto"/>
          </w:tcPr>
          <w:p>
            <w:r>
              <w:rPr>
                <w:rFonts w:hint="eastAsia"/>
              </w:rPr>
              <w:t>工作中岗位技能需要学习改进，需要别人指导</w:t>
            </w:r>
          </w:p>
        </w:tc>
        <w:tc>
          <w:tcPr>
            <w:tcW w:w="1105" w:type="dxa"/>
            <w:shd w:val="clear" w:color="auto" w:fill="auto"/>
          </w:tcPr>
          <w:p>
            <w:r>
              <w:rPr>
                <w:rFonts w:hint="eastAsia"/>
              </w:rPr>
              <w:t>不清楚岗位职能和</w:t>
            </w:r>
          </w:p>
          <w:p>
            <w:r>
              <w:rPr>
                <w:rFonts w:hint="eastAsia"/>
              </w:rPr>
              <w:t>内容，实际工作也不</w:t>
            </w:r>
          </w:p>
          <w:p>
            <w:r>
              <w:rPr>
                <w:rFonts w:hint="eastAsia"/>
              </w:rPr>
              <w:t>会 </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shd w:val="clear" w:color="auto" w:fill="auto"/>
          </w:tcPr>
          <w:p/>
          <w:p/>
          <w:p/>
          <w:p>
            <w:r>
              <w:rPr>
                <w:rFonts w:hint="eastAsia"/>
              </w:rPr>
              <w:t>15</w:t>
            </w:r>
          </w:p>
        </w:tc>
        <w:tc>
          <w:tcPr>
            <w:tcW w:w="883" w:type="dxa"/>
            <w:shd w:val="clear" w:color="auto" w:fill="auto"/>
          </w:tcPr>
          <w:p/>
          <w:p>
            <w:r>
              <w:rPr>
                <w:rFonts w:hint="eastAsia"/>
              </w:rPr>
              <w:t>发现问题解决问题能力</w:t>
            </w:r>
          </w:p>
        </w:tc>
        <w:tc>
          <w:tcPr>
            <w:tcW w:w="685" w:type="dxa"/>
            <w:shd w:val="clear" w:color="auto" w:fill="auto"/>
          </w:tcPr>
          <w:p/>
          <w:p/>
          <w:p/>
          <w:p>
            <w:r>
              <w:rPr>
                <w:rFonts w:hint="eastAsia"/>
              </w:rPr>
              <w:t>5分</w:t>
            </w:r>
          </w:p>
        </w:tc>
        <w:tc>
          <w:tcPr>
            <w:tcW w:w="1465" w:type="dxa"/>
            <w:shd w:val="clear" w:color="auto" w:fill="auto"/>
          </w:tcPr>
          <w:p>
            <w:r>
              <w:rPr>
                <w:rFonts w:hint="eastAsia"/>
              </w:rPr>
              <w:t>主动发现问题并妥善解决，还能形成经验总结</w:t>
            </w:r>
          </w:p>
        </w:tc>
        <w:tc>
          <w:tcPr>
            <w:tcW w:w="1218" w:type="dxa"/>
            <w:shd w:val="clear" w:color="auto" w:fill="auto"/>
          </w:tcPr>
          <w:p>
            <w:r>
              <w:rPr>
                <w:rFonts w:hint="eastAsia"/>
              </w:rPr>
              <w:t>无能力主动发现问题，但能妥善解决</w:t>
            </w:r>
          </w:p>
        </w:tc>
        <w:tc>
          <w:tcPr>
            <w:tcW w:w="1062" w:type="dxa"/>
            <w:shd w:val="clear" w:color="auto" w:fill="auto"/>
          </w:tcPr>
          <w:p>
            <w:r>
              <w:rPr>
                <w:rFonts w:hint="eastAsia"/>
              </w:rPr>
              <w:t>无能力主动发现问题，仅能低质量解决问题</w:t>
            </w:r>
          </w:p>
        </w:tc>
        <w:tc>
          <w:tcPr>
            <w:tcW w:w="1105" w:type="dxa"/>
            <w:shd w:val="clear" w:color="auto" w:fill="auto"/>
          </w:tcPr>
          <w:p>
            <w:r>
              <w:rPr>
                <w:rFonts w:hint="eastAsia"/>
              </w:rPr>
              <w:t>面对问题毫无解决能力 </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restart"/>
            <w:shd w:val="clear" w:color="auto" w:fill="auto"/>
          </w:tcPr>
          <w:p>
            <w:pPr>
              <w:jc w:val="center"/>
            </w:pPr>
          </w:p>
          <w:p>
            <w:pPr>
              <w:jc w:val="center"/>
            </w:pPr>
          </w:p>
          <w:p>
            <w:pPr>
              <w:jc w:val="center"/>
            </w:pPr>
          </w:p>
          <w:p>
            <w:pPr>
              <w:jc w:val="center"/>
            </w:pPr>
          </w:p>
          <w:p>
            <w:pPr>
              <w:jc w:val="center"/>
              <w:rPr>
                <w:b/>
              </w:rPr>
            </w:pPr>
            <w:r>
              <w:rPr>
                <w:rFonts w:hint="eastAsia"/>
                <w:b/>
              </w:rPr>
              <w:t>团队</w:t>
            </w:r>
          </w:p>
          <w:p>
            <w:pPr>
              <w:jc w:val="center"/>
            </w:pPr>
            <w:r>
              <w:rPr>
                <w:rFonts w:hint="eastAsia"/>
                <w:b/>
              </w:rPr>
              <w:t>配合度</w:t>
            </w:r>
          </w:p>
        </w:tc>
        <w:tc>
          <w:tcPr>
            <w:tcW w:w="550" w:type="dxa"/>
            <w:shd w:val="clear" w:color="auto" w:fill="auto"/>
          </w:tcPr>
          <w:p/>
          <w:p>
            <w:r>
              <w:rPr>
                <w:rFonts w:hint="eastAsia"/>
              </w:rPr>
              <w:t>16</w:t>
            </w:r>
          </w:p>
        </w:tc>
        <w:tc>
          <w:tcPr>
            <w:tcW w:w="883" w:type="dxa"/>
            <w:shd w:val="clear" w:color="auto" w:fill="auto"/>
          </w:tcPr>
          <w:p>
            <w:r>
              <w:rPr>
                <w:rFonts w:hint="eastAsia"/>
              </w:rPr>
              <w:t>团队</w:t>
            </w:r>
          </w:p>
          <w:p>
            <w:r>
              <w:rPr>
                <w:rFonts w:hint="eastAsia"/>
              </w:rPr>
              <w:t>协作</w:t>
            </w:r>
          </w:p>
        </w:tc>
        <w:tc>
          <w:tcPr>
            <w:tcW w:w="685" w:type="dxa"/>
            <w:shd w:val="clear" w:color="auto" w:fill="auto"/>
          </w:tcPr>
          <w:p/>
          <w:p>
            <w:r>
              <w:rPr>
                <w:rFonts w:hint="eastAsia"/>
              </w:rPr>
              <w:t>5分</w:t>
            </w:r>
          </w:p>
        </w:tc>
        <w:tc>
          <w:tcPr>
            <w:tcW w:w="1465" w:type="dxa"/>
            <w:shd w:val="clear" w:color="auto" w:fill="auto"/>
          </w:tcPr>
          <w:p>
            <w:r>
              <w:rPr>
                <w:rFonts w:hint="eastAsia"/>
              </w:rPr>
              <w:t>有较强团结意识，积极带动团队协作</w:t>
            </w:r>
          </w:p>
        </w:tc>
        <w:tc>
          <w:tcPr>
            <w:tcW w:w="1218" w:type="dxa"/>
            <w:shd w:val="clear" w:color="auto" w:fill="auto"/>
          </w:tcPr>
          <w:p>
            <w:r>
              <w:rPr>
                <w:rFonts w:hint="eastAsia"/>
              </w:rPr>
              <w:t>有团队意识，自身作好团队协作</w:t>
            </w:r>
          </w:p>
        </w:tc>
        <w:tc>
          <w:tcPr>
            <w:tcW w:w="1062" w:type="dxa"/>
            <w:shd w:val="clear" w:color="auto" w:fill="auto"/>
          </w:tcPr>
          <w:p>
            <w:r>
              <w:rPr>
                <w:rFonts w:hint="eastAsia"/>
              </w:rPr>
              <w:t>需要团队协作时能够配合</w:t>
            </w:r>
          </w:p>
        </w:tc>
        <w:tc>
          <w:tcPr>
            <w:tcW w:w="1105" w:type="dxa"/>
            <w:shd w:val="clear" w:color="auto" w:fill="auto"/>
          </w:tcPr>
          <w:p>
            <w:r>
              <w:rPr>
                <w:rFonts w:hint="eastAsia"/>
              </w:rPr>
              <w:t>无团队意识，需要教育</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shd w:val="clear" w:color="auto" w:fill="auto"/>
          </w:tcPr>
          <w:p/>
          <w:p>
            <w:r>
              <w:rPr>
                <w:rFonts w:hint="eastAsia"/>
              </w:rPr>
              <w:t>17</w:t>
            </w:r>
          </w:p>
        </w:tc>
        <w:tc>
          <w:tcPr>
            <w:tcW w:w="883" w:type="dxa"/>
            <w:shd w:val="clear" w:color="auto" w:fill="auto"/>
          </w:tcPr>
          <w:p>
            <w:r>
              <w:rPr>
                <w:rFonts w:hint="eastAsia"/>
              </w:rPr>
              <w:t>待人</w:t>
            </w:r>
          </w:p>
          <w:p>
            <w:r>
              <w:rPr>
                <w:rFonts w:hint="eastAsia"/>
              </w:rPr>
              <w:t>亲切</w:t>
            </w:r>
          </w:p>
        </w:tc>
        <w:tc>
          <w:tcPr>
            <w:tcW w:w="685" w:type="dxa"/>
            <w:shd w:val="clear" w:color="auto" w:fill="auto"/>
          </w:tcPr>
          <w:p/>
          <w:p>
            <w:r>
              <w:rPr>
                <w:rFonts w:hint="eastAsia"/>
              </w:rPr>
              <w:t>5分</w:t>
            </w:r>
          </w:p>
        </w:tc>
        <w:tc>
          <w:tcPr>
            <w:tcW w:w="1465" w:type="dxa"/>
            <w:shd w:val="clear" w:color="auto" w:fill="auto"/>
          </w:tcPr>
          <w:p>
            <w:r>
              <w:rPr>
                <w:rFonts w:hint="eastAsia"/>
              </w:rPr>
              <w:t>待人非常亲切</w:t>
            </w:r>
          </w:p>
        </w:tc>
        <w:tc>
          <w:tcPr>
            <w:tcW w:w="1218" w:type="dxa"/>
            <w:shd w:val="clear" w:color="auto" w:fill="auto"/>
          </w:tcPr>
          <w:p>
            <w:r>
              <w:rPr>
                <w:rFonts w:hint="eastAsia"/>
              </w:rPr>
              <w:t>偶尔待人亲切</w:t>
            </w:r>
          </w:p>
        </w:tc>
        <w:tc>
          <w:tcPr>
            <w:tcW w:w="1062" w:type="dxa"/>
            <w:shd w:val="clear" w:color="auto" w:fill="auto"/>
          </w:tcPr>
          <w:p>
            <w:r>
              <w:rPr>
                <w:rFonts w:hint="eastAsia"/>
              </w:rPr>
              <w:t>待人不亲切</w:t>
            </w:r>
          </w:p>
        </w:tc>
        <w:tc>
          <w:tcPr>
            <w:tcW w:w="1105" w:type="dxa"/>
            <w:shd w:val="clear" w:color="auto" w:fill="auto"/>
          </w:tcPr>
          <w:p>
            <w:r>
              <w:rPr>
                <w:rFonts w:hint="eastAsia"/>
              </w:rPr>
              <w:t>待人很不亲切</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shd w:val="clear" w:color="auto" w:fill="auto"/>
          </w:tcPr>
          <w:p>
            <w:r>
              <w:rPr>
                <w:rFonts w:hint="eastAsia"/>
              </w:rPr>
              <w:t>18</w:t>
            </w:r>
          </w:p>
        </w:tc>
        <w:tc>
          <w:tcPr>
            <w:tcW w:w="883" w:type="dxa"/>
            <w:shd w:val="clear" w:color="auto" w:fill="auto"/>
          </w:tcPr>
          <w:p>
            <w:r>
              <w:rPr>
                <w:rFonts w:hint="eastAsia"/>
              </w:rPr>
              <w:t>与同事相处融洽</w:t>
            </w:r>
          </w:p>
        </w:tc>
        <w:tc>
          <w:tcPr>
            <w:tcW w:w="685" w:type="dxa"/>
            <w:shd w:val="clear" w:color="auto" w:fill="auto"/>
          </w:tcPr>
          <w:p/>
          <w:p>
            <w:r>
              <w:rPr>
                <w:rFonts w:hint="eastAsia"/>
              </w:rPr>
              <w:t>5分</w:t>
            </w:r>
          </w:p>
        </w:tc>
        <w:tc>
          <w:tcPr>
            <w:tcW w:w="1465" w:type="dxa"/>
            <w:shd w:val="clear" w:color="auto" w:fill="auto"/>
          </w:tcPr>
          <w:p>
            <w:r>
              <w:rPr>
                <w:rFonts w:hint="eastAsia"/>
              </w:rPr>
              <w:t>与同事相处非常融洽</w:t>
            </w:r>
          </w:p>
        </w:tc>
        <w:tc>
          <w:tcPr>
            <w:tcW w:w="1218" w:type="dxa"/>
            <w:shd w:val="clear" w:color="auto" w:fill="auto"/>
          </w:tcPr>
          <w:p>
            <w:r>
              <w:rPr>
                <w:rFonts w:hint="eastAsia"/>
              </w:rPr>
              <w:t>与同事相处较融洽</w:t>
            </w:r>
          </w:p>
        </w:tc>
        <w:tc>
          <w:tcPr>
            <w:tcW w:w="1062" w:type="dxa"/>
            <w:shd w:val="clear" w:color="auto" w:fill="auto"/>
          </w:tcPr>
          <w:p>
            <w:r>
              <w:rPr>
                <w:rFonts w:hint="eastAsia"/>
              </w:rPr>
              <w:t>与同事相处不融洽</w:t>
            </w:r>
          </w:p>
        </w:tc>
        <w:tc>
          <w:tcPr>
            <w:tcW w:w="1105" w:type="dxa"/>
            <w:shd w:val="clear" w:color="auto" w:fill="auto"/>
          </w:tcPr>
          <w:p>
            <w:r>
              <w:rPr>
                <w:rFonts w:hint="eastAsia"/>
              </w:rPr>
              <w:t>与同事相处极度不融洽</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restart"/>
            <w:shd w:val="clear" w:color="auto" w:fill="auto"/>
          </w:tcPr>
          <w:p>
            <w:pPr>
              <w:jc w:val="center"/>
            </w:pPr>
          </w:p>
          <w:p>
            <w:pPr>
              <w:jc w:val="center"/>
            </w:pPr>
          </w:p>
          <w:p>
            <w:pPr>
              <w:jc w:val="center"/>
              <w:rPr>
                <w:b/>
              </w:rPr>
            </w:pPr>
            <w:r>
              <w:rPr>
                <w:rFonts w:hint="eastAsia"/>
                <w:b/>
              </w:rPr>
              <w:t>机构</w:t>
            </w:r>
          </w:p>
          <w:p>
            <w:pPr>
              <w:jc w:val="center"/>
            </w:pPr>
            <w:r>
              <w:rPr>
                <w:rFonts w:hint="eastAsia"/>
                <w:b/>
              </w:rPr>
              <w:t>适合度</w:t>
            </w:r>
          </w:p>
        </w:tc>
        <w:tc>
          <w:tcPr>
            <w:tcW w:w="550" w:type="dxa"/>
            <w:shd w:val="clear" w:color="auto" w:fill="auto"/>
          </w:tcPr>
          <w:p/>
          <w:p>
            <w:r>
              <w:rPr>
                <w:rFonts w:hint="eastAsia"/>
              </w:rPr>
              <w:t>19</w:t>
            </w:r>
          </w:p>
        </w:tc>
        <w:tc>
          <w:tcPr>
            <w:tcW w:w="883" w:type="dxa"/>
            <w:shd w:val="clear" w:color="auto" w:fill="auto"/>
          </w:tcPr>
          <w:p>
            <w:r>
              <w:rPr>
                <w:rFonts w:hint="eastAsia"/>
              </w:rPr>
              <w:t>认同机构发展理念</w:t>
            </w:r>
          </w:p>
        </w:tc>
        <w:tc>
          <w:tcPr>
            <w:tcW w:w="685" w:type="dxa"/>
            <w:shd w:val="clear" w:color="auto" w:fill="auto"/>
          </w:tcPr>
          <w:p/>
          <w:p>
            <w:r>
              <w:rPr>
                <w:rFonts w:hint="eastAsia"/>
              </w:rPr>
              <w:t>5分</w:t>
            </w:r>
          </w:p>
        </w:tc>
        <w:tc>
          <w:tcPr>
            <w:tcW w:w="1465" w:type="dxa"/>
            <w:shd w:val="clear" w:color="auto" w:fill="auto"/>
          </w:tcPr>
          <w:p>
            <w:r>
              <w:rPr>
                <w:rFonts w:hint="eastAsia"/>
              </w:rPr>
              <w:t>非常认同机构发展理念</w:t>
            </w:r>
          </w:p>
        </w:tc>
        <w:tc>
          <w:tcPr>
            <w:tcW w:w="1218" w:type="dxa"/>
            <w:shd w:val="clear" w:color="auto" w:fill="auto"/>
          </w:tcPr>
          <w:p>
            <w:r>
              <w:rPr>
                <w:rFonts w:hint="eastAsia"/>
              </w:rPr>
              <w:t>较认同机构发展理念</w:t>
            </w:r>
          </w:p>
        </w:tc>
        <w:tc>
          <w:tcPr>
            <w:tcW w:w="1062" w:type="dxa"/>
            <w:shd w:val="clear" w:color="auto" w:fill="auto"/>
          </w:tcPr>
          <w:p>
            <w:r>
              <w:rPr>
                <w:rFonts w:hint="eastAsia"/>
              </w:rPr>
              <w:t>不认同机构发展理念</w:t>
            </w:r>
          </w:p>
        </w:tc>
        <w:tc>
          <w:tcPr>
            <w:tcW w:w="1105" w:type="dxa"/>
            <w:shd w:val="clear" w:color="auto" w:fill="auto"/>
          </w:tcPr>
          <w:p>
            <w:r>
              <w:rPr>
                <w:rFonts w:hint="eastAsia"/>
              </w:rPr>
              <w:t>很不认同机构发展理念</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vMerge w:val="continue"/>
            <w:shd w:val="clear" w:color="auto" w:fill="auto"/>
          </w:tcPr>
          <w:p>
            <w:pPr>
              <w:jc w:val="center"/>
            </w:pPr>
          </w:p>
        </w:tc>
        <w:tc>
          <w:tcPr>
            <w:tcW w:w="550" w:type="dxa"/>
            <w:shd w:val="clear" w:color="auto" w:fill="auto"/>
          </w:tcPr>
          <w:p/>
          <w:p/>
          <w:p>
            <w:r>
              <w:rPr>
                <w:rFonts w:hint="eastAsia"/>
              </w:rPr>
              <w:t>20</w:t>
            </w:r>
          </w:p>
        </w:tc>
        <w:tc>
          <w:tcPr>
            <w:tcW w:w="883" w:type="dxa"/>
            <w:shd w:val="clear" w:color="auto" w:fill="auto"/>
          </w:tcPr>
          <w:p>
            <w:r>
              <w:rPr>
                <w:rFonts w:hint="eastAsia"/>
              </w:rPr>
              <w:t>对机构规章制度的遵守、执行情况</w:t>
            </w:r>
          </w:p>
        </w:tc>
        <w:tc>
          <w:tcPr>
            <w:tcW w:w="685" w:type="dxa"/>
            <w:shd w:val="clear" w:color="auto" w:fill="auto"/>
          </w:tcPr>
          <w:p>
            <w:r>
              <w:rPr>
                <w:rFonts w:hint="eastAsia"/>
              </w:rPr>
              <w:t>5分</w:t>
            </w:r>
          </w:p>
        </w:tc>
        <w:tc>
          <w:tcPr>
            <w:tcW w:w="1465" w:type="dxa"/>
            <w:shd w:val="clear" w:color="auto" w:fill="auto"/>
          </w:tcPr>
          <w:p>
            <w:r>
              <w:rPr>
                <w:rFonts w:hint="eastAsia"/>
              </w:rPr>
              <w:t>遵守并认真执行机构规章制度</w:t>
            </w:r>
          </w:p>
        </w:tc>
        <w:tc>
          <w:tcPr>
            <w:tcW w:w="1218" w:type="dxa"/>
            <w:shd w:val="clear" w:color="auto" w:fill="auto"/>
          </w:tcPr>
          <w:p>
            <w:r>
              <w:rPr>
                <w:rFonts w:hint="eastAsia"/>
              </w:rPr>
              <w:t>较遵守并执行机构规章制度</w:t>
            </w:r>
          </w:p>
        </w:tc>
        <w:tc>
          <w:tcPr>
            <w:tcW w:w="1062" w:type="dxa"/>
            <w:shd w:val="clear" w:color="auto" w:fill="auto"/>
          </w:tcPr>
          <w:p>
            <w:r>
              <w:rPr>
                <w:rFonts w:hint="eastAsia"/>
              </w:rPr>
              <w:t>不遵守和执行机构规章制度</w:t>
            </w:r>
          </w:p>
        </w:tc>
        <w:tc>
          <w:tcPr>
            <w:tcW w:w="1105" w:type="dxa"/>
            <w:shd w:val="clear" w:color="auto" w:fill="auto"/>
          </w:tcPr>
          <w:p>
            <w:r>
              <w:rPr>
                <w:rFonts w:hint="eastAsia"/>
              </w:rPr>
              <w:t>很不遵守机构规章制度</w:t>
            </w:r>
          </w:p>
        </w:tc>
        <w:tc>
          <w:tcPr>
            <w:tcW w:w="58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 w:type="dxa"/>
            <w:shd w:val="clear" w:color="auto" w:fill="auto"/>
          </w:tcPr>
          <w:p>
            <w:pPr>
              <w:jc w:val="center"/>
            </w:pPr>
          </w:p>
          <w:p>
            <w:pPr>
              <w:jc w:val="center"/>
            </w:pPr>
          </w:p>
          <w:p>
            <w:pPr>
              <w:jc w:val="center"/>
            </w:pPr>
          </w:p>
          <w:p>
            <w:pPr>
              <w:jc w:val="center"/>
              <w:rPr>
                <w:b/>
              </w:rPr>
            </w:pPr>
          </w:p>
          <w:p>
            <w:pPr>
              <w:jc w:val="center"/>
              <w:rPr>
                <w:b/>
              </w:rPr>
            </w:pPr>
          </w:p>
          <w:p>
            <w:pPr>
              <w:jc w:val="center"/>
              <w:rPr>
                <w:b/>
              </w:rPr>
            </w:pPr>
          </w:p>
          <w:p>
            <w:pPr>
              <w:jc w:val="center"/>
              <w:rPr>
                <w:b/>
              </w:rPr>
            </w:pPr>
          </w:p>
          <w:p>
            <w:pPr>
              <w:jc w:val="center"/>
              <w:rPr>
                <w:b/>
              </w:rPr>
            </w:pPr>
          </w:p>
          <w:p>
            <w:pPr>
              <w:jc w:val="center"/>
              <w:rPr>
                <w:b/>
              </w:rPr>
            </w:pPr>
            <w:r>
              <w:rPr>
                <w:rFonts w:hint="eastAsia"/>
                <w:b/>
              </w:rPr>
              <w:t>评语</w:t>
            </w:r>
          </w:p>
        </w:tc>
        <w:tc>
          <w:tcPr>
            <w:tcW w:w="7555" w:type="dxa"/>
            <w:gridSpan w:val="8"/>
            <w:shd w:val="clear" w:color="auto" w:fill="auto"/>
          </w:tcPr>
          <w:p/>
          <w:p/>
          <w:p/>
          <w:p/>
          <w:p/>
          <w:p/>
          <w:p/>
          <w:p/>
          <w:p/>
          <w:p/>
          <w:p/>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967" w:type="dxa"/>
            <w:shd w:val="clear" w:color="auto" w:fill="auto"/>
          </w:tcPr>
          <w:p>
            <w:pPr>
              <w:jc w:val="center"/>
              <w:rPr>
                <w:b/>
              </w:rPr>
            </w:pPr>
            <w:r>
              <w:rPr>
                <w:rFonts w:hint="eastAsia"/>
                <w:b/>
              </w:rPr>
              <w:t>结论</w:t>
            </w:r>
          </w:p>
          <w:p>
            <w:pPr>
              <w:jc w:val="center"/>
            </w:pPr>
            <w:r>
              <w:rPr>
                <w:rFonts w:hint="eastAsia"/>
                <w:b/>
              </w:rPr>
              <w:t>（1-20项总分</w:t>
            </w:r>
            <w:r>
              <w:rPr>
                <w:rFonts w:hint="eastAsia"/>
              </w:rPr>
              <w:t>）</w:t>
            </w:r>
          </w:p>
        </w:tc>
        <w:tc>
          <w:tcPr>
            <w:tcW w:w="7555" w:type="dxa"/>
            <w:gridSpan w:val="8"/>
            <w:shd w:val="clear" w:color="auto" w:fill="auto"/>
          </w:tcPr>
          <w:p/>
        </w:tc>
      </w:tr>
    </w:tbl>
    <w:p>
      <w:pPr>
        <w:spacing w:line="360" w:lineRule="auto"/>
        <w:rPr>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sz w:val="24"/>
          <w:szCs w:val="24"/>
        </w:rPr>
      </w:pPr>
    </w:p>
    <w:p>
      <w:pPr>
        <w:spacing w:line="360" w:lineRule="auto"/>
        <w:outlineLvl w:val="1"/>
        <w:rPr>
          <w:rFonts w:asciiTheme="minorEastAsia" w:hAnsiTheme="minorEastAsia"/>
          <w:sz w:val="24"/>
          <w:szCs w:val="24"/>
        </w:rPr>
      </w:pPr>
      <w:bookmarkStart w:id="109" w:name="_Toc403829228"/>
      <w:bookmarkStart w:id="110" w:name="_Toc23120"/>
      <w:r>
        <w:rPr>
          <w:rFonts w:hint="eastAsia" w:asciiTheme="minorEastAsia" w:hAnsiTheme="minorEastAsia"/>
          <w:sz w:val="24"/>
          <w:szCs w:val="24"/>
        </w:rPr>
        <w:t>附件17-4：《员工转正评价表（同事环评）》</w:t>
      </w:r>
      <w:bookmarkEnd w:id="109"/>
      <w:bookmarkEnd w:id="110"/>
    </w:p>
    <w:p>
      <w:pPr>
        <w:spacing w:line="360" w:lineRule="auto"/>
        <w:jc w:val="center"/>
        <w:rPr>
          <w:rFonts w:ascii="微软雅黑" w:hAnsi="微软雅黑" w:eastAsia="微软雅黑" w:cs="宋体"/>
          <w:b/>
          <w:bCs/>
          <w:sz w:val="28"/>
          <w:szCs w:val="28"/>
        </w:rPr>
      </w:pPr>
      <w:r>
        <w:rPr>
          <w:rFonts w:hint="eastAsia" w:ascii="微软雅黑" w:hAnsi="微软雅黑" w:eastAsia="微软雅黑" w:cs="宋体"/>
          <w:b/>
          <w:bCs/>
          <w:sz w:val="28"/>
          <w:szCs w:val="28"/>
          <w:lang w:eastAsia="zh-CN"/>
        </w:rPr>
        <w:t>北京天地文化发展</w:t>
      </w:r>
      <w:r>
        <w:rPr>
          <w:rFonts w:hint="eastAsia" w:ascii="微软雅黑" w:hAnsi="微软雅黑" w:eastAsia="微软雅黑" w:cs="宋体"/>
          <w:b/>
          <w:bCs/>
          <w:sz w:val="28"/>
          <w:szCs w:val="28"/>
        </w:rPr>
        <w:t>基金会员工转正评价表（同事环评）</w:t>
      </w: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654"/>
        <w:gridCol w:w="1386"/>
        <w:gridCol w:w="1122"/>
        <w:gridCol w:w="1199"/>
        <w:gridCol w:w="2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4" w:type="dxa"/>
            <w:gridSpan w:val="2"/>
            <w:shd w:val="clear" w:color="auto" w:fill="auto"/>
          </w:tcPr>
          <w:p>
            <w:pPr>
              <w:jc w:val="right"/>
              <w:rPr>
                <w:b/>
              </w:rPr>
            </w:pPr>
          </w:p>
          <w:p>
            <w:pPr>
              <w:jc w:val="right"/>
              <w:rPr>
                <w:b/>
              </w:rPr>
            </w:pPr>
            <w:r>
              <w:rPr>
                <w:rFonts w:hint="eastAsia"/>
                <w:b/>
              </w:rPr>
              <w:t>被评估人姓名</w:t>
            </w:r>
          </w:p>
        </w:tc>
        <w:tc>
          <w:tcPr>
            <w:tcW w:w="2508" w:type="dxa"/>
            <w:gridSpan w:val="2"/>
            <w:shd w:val="clear" w:color="auto" w:fill="auto"/>
          </w:tcPr>
          <w:p>
            <w:pPr>
              <w:rPr>
                <w:b/>
              </w:rPr>
            </w:pPr>
          </w:p>
          <w:p>
            <w:pPr>
              <w:jc w:val="right"/>
              <w:rPr>
                <w:b/>
              </w:rPr>
            </w:pPr>
          </w:p>
        </w:tc>
        <w:tc>
          <w:tcPr>
            <w:tcW w:w="1199" w:type="dxa"/>
            <w:shd w:val="clear" w:color="auto" w:fill="auto"/>
          </w:tcPr>
          <w:p>
            <w:pPr>
              <w:jc w:val="right"/>
              <w:rPr>
                <w:b/>
              </w:rPr>
            </w:pPr>
          </w:p>
          <w:p>
            <w:pPr>
              <w:jc w:val="right"/>
              <w:rPr>
                <w:b/>
              </w:rPr>
            </w:pPr>
            <w:r>
              <w:rPr>
                <w:rFonts w:hint="eastAsia"/>
                <w:b/>
              </w:rPr>
              <w:t>评估时间</w:t>
            </w:r>
          </w:p>
        </w:tc>
        <w:tc>
          <w:tcPr>
            <w:tcW w:w="2753" w:type="dxa"/>
            <w:shd w:val="clear" w:color="auto" w:fill="auto"/>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300" w:type="dxa"/>
            <w:shd w:val="clear" w:color="auto" w:fill="auto"/>
          </w:tcPr>
          <w:p>
            <w:pPr>
              <w:rPr>
                <w:b/>
              </w:rPr>
            </w:pPr>
            <w:r>
              <w:rPr>
                <w:rFonts w:hint="eastAsia"/>
                <w:b/>
              </w:rPr>
              <w:t>考核项目</w:t>
            </w:r>
          </w:p>
        </w:tc>
        <w:tc>
          <w:tcPr>
            <w:tcW w:w="654" w:type="dxa"/>
            <w:shd w:val="clear" w:color="auto" w:fill="auto"/>
          </w:tcPr>
          <w:p>
            <w:pPr>
              <w:rPr>
                <w:b/>
              </w:rPr>
            </w:pPr>
            <w:r>
              <w:rPr>
                <w:rFonts w:hint="eastAsia"/>
                <w:b/>
              </w:rPr>
              <w:t>序号</w:t>
            </w:r>
          </w:p>
        </w:tc>
        <w:tc>
          <w:tcPr>
            <w:tcW w:w="1386" w:type="dxa"/>
            <w:shd w:val="clear" w:color="auto" w:fill="auto"/>
          </w:tcPr>
          <w:p>
            <w:pPr>
              <w:rPr>
                <w:b/>
              </w:rPr>
            </w:pPr>
            <w:r>
              <w:rPr>
                <w:rFonts w:hint="eastAsia"/>
                <w:b/>
              </w:rPr>
              <w:t>分值</w:t>
            </w:r>
          </w:p>
        </w:tc>
        <w:tc>
          <w:tcPr>
            <w:tcW w:w="5074" w:type="dxa"/>
            <w:gridSpan w:val="3"/>
            <w:shd w:val="clear" w:color="auto" w:fill="auto"/>
          </w:tcPr>
          <w:p>
            <w:r>
              <w:rPr>
                <w:rFonts w:hint="eastAsia"/>
                <w:b/>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6" w:hRule="atLeast"/>
        </w:trPr>
        <w:tc>
          <w:tcPr>
            <w:tcW w:w="1300" w:type="dxa"/>
            <w:shd w:val="clear" w:color="auto" w:fill="auto"/>
          </w:tcPr>
          <w:p>
            <w:pPr>
              <w:rPr>
                <w:b/>
              </w:rPr>
            </w:pPr>
          </w:p>
          <w:p>
            <w:pPr>
              <w:rPr>
                <w:b/>
              </w:rPr>
            </w:pPr>
          </w:p>
          <w:p>
            <w:pPr>
              <w:rPr>
                <w:b/>
              </w:rPr>
            </w:pPr>
            <w:r>
              <w:rPr>
                <w:rFonts w:hint="eastAsia"/>
                <w:b/>
              </w:rPr>
              <w:t>工作态度</w:t>
            </w:r>
          </w:p>
        </w:tc>
        <w:tc>
          <w:tcPr>
            <w:tcW w:w="654" w:type="dxa"/>
            <w:shd w:val="clear" w:color="auto" w:fill="auto"/>
          </w:tcPr>
          <w:p/>
          <w:p/>
          <w:p/>
          <w:p>
            <w:r>
              <w:rPr>
                <w:rFonts w:hint="eastAsia"/>
              </w:rPr>
              <w:t>1</w:t>
            </w:r>
          </w:p>
        </w:tc>
        <w:tc>
          <w:tcPr>
            <w:tcW w:w="1386" w:type="dxa"/>
            <w:shd w:val="clear" w:color="auto" w:fill="auto"/>
          </w:tcPr>
          <w:p/>
          <w:p/>
          <w:p/>
          <w:p>
            <w:r>
              <w:rPr>
                <w:rFonts w:hint="eastAsia"/>
              </w:rPr>
              <w:t>20分</w:t>
            </w:r>
          </w:p>
        </w:tc>
        <w:tc>
          <w:tcPr>
            <w:tcW w:w="5074" w:type="dxa"/>
            <w:gridSpan w:val="3"/>
            <w:shd w:val="clear" w:color="auto" w:fill="auto"/>
          </w:tcPr>
          <w:p/>
          <w:p/>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1300" w:type="dxa"/>
            <w:shd w:val="clear" w:color="auto" w:fill="auto"/>
          </w:tcPr>
          <w:p>
            <w:pPr>
              <w:rPr>
                <w:b/>
              </w:rPr>
            </w:pPr>
          </w:p>
          <w:p>
            <w:pPr>
              <w:rPr>
                <w:b/>
              </w:rPr>
            </w:pPr>
          </w:p>
          <w:p>
            <w:pPr>
              <w:rPr>
                <w:b/>
              </w:rPr>
            </w:pPr>
            <w:r>
              <w:rPr>
                <w:rFonts w:hint="eastAsia"/>
                <w:b/>
              </w:rPr>
              <w:t>团队合作</w:t>
            </w:r>
          </w:p>
          <w:p>
            <w:pPr>
              <w:rPr>
                <w:b/>
              </w:rPr>
            </w:pPr>
            <w:r>
              <w:rPr>
                <w:rFonts w:hint="eastAsia"/>
                <w:b/>
              </w:rPr>
              <w:t>评价</w:t>
            </w:r>
          </w:p>
        </w:tc>
        <w:tc>
          <w:tcPr>
            <w:tcW w:w="654" w:type="dxa"/>
            <w:shd w:val="clear" w:color="auto" w:fill="auto"/>
          </w:tcPr>
          <w:p/>
          <w:p/>
          <w:p/>
          <w:p>
            <w:r>
              <w:rPr>
                <w:rFonts w:hint="eastAsia"/>
              </w:rPr>
              <w:t>2</w:t>
            </w:r>
          </w:p>
        </w:tc>
        <w:tc>
          <w:tcPr>
            <w:tcW w:w="1386" w:type="dxa"/>
            <w:shd w:val="clear" w:color="auto" w:fill="auto"/>
          </w:tcPr>
          <w:p/>
          <w:p/>
          <w:p/>
          <w:p>
            <w:r>
              <w:rPr>
                <w:rFonts w:hint="eastAsia"/>
              </w:rPr>
              <w:t>20分</w:t>
            </w:r>
          </w:p>
          <w:p/>
        </w:tc>
        <w:tc>
          <w:tcPr>
            <w:tcW w:w="5074" w:type="dxa"/>
            <w:gridSpan w:val="3"/>
            <w:shd w:val="clear" w:color="auto" w:fill="auto"/>
          </w:tcPr>
          <w:p/>
          <w:p/>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1300" w:type="dxa"/>
            <w:shd w:val="clear" w:color="auto" w:fill="auto"/>
          </w:tcPr>
          <w:p>
            <w:pPr>
              <w:rPr>
                <w:b/>
              </w:rPr>
            </w:pPr>
          </w:p>
          <w:p>
            <w:pPr>
              <w:rPr>
                <w:b/>
              </w:rPr>
            </w:pPr>
          </w:p>
          <w:p>
            <w:pPr>
              <w:rPr>
                <w:b/>
              </w:rPr>
            </w:pPr>
            <w:r>
              <w:rPr>
                <w:rFonts w:hint="eastAsia"/>
                <w:b/>
              </w:rPr>
              <w:t>最突出</w:t>
            </w:r>
          </w:p>
          <w:p>
            <w:pPr>
              <w:rPr>
                <w:b/>
              </w:rPr>
            </w:pPr>
            <w:r>
              <w:rPr>
                <w:rFonts w:hint="eastAsia"/>
                <w:b/>
              </w:rPr>
              <w:t>的优点</w:t>
            </w:r>
          </w:p>
        </w:tc>
        <w:tc>
          <w:tcPr>
            <w:tcW w:w="654" w:type="dxa"/>
            <w:shd w:val="clear" w:color="auto" w:fill="auto"/>
          </w:tcPr>
          <w:p/>
          <w:p/>
          <w:p>
            <w:r>
              <w:rPr>
                <w:rFonts w:hint="eastAsia"/>
              </w:rPr>
              <w:t>3</w:t>
            </w:r>
          </w:p>
        </w:tc>
        <w:tc>
          <w:tcPr>
            <w:tcW w:w="1386" w:type="dxa"/>
            <w:shd w:val="clear" w:color="auto" w:fill="auto"/>
          </w:tcPr>
          <w:p/>
          <w:p/>
          <w:p>
            <w:r>
              <w:rPr>
                <w:rFonts w:hint="eastAsia"/>
              </w:rPr>
              <w:t>20分</w:t>
            </w:r>
          </w:p>
          <w:p/>
        </w:tc>
        <w:tc>
          <w:tcPr>
            <w:tcW w:w="5074" w:type="dxa"/>
            <w:gridSpan w:val="3"/>
            <w:shd w:val="clear" w:color="auto" w:fill="auto"/>
          </w:tcPr>
          <w:p/>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1300" w:type="dxa"/>
            <w:shd w:val="clear" w:color="auto" w:fill="auto"/>
          </w:tcPr>
          <w:p>
            <w:pPr>
              <w:rPr>
                <w:b/>
              </w:rPr>
            </w:pPr>
          </w:p>
          <w:p>
            <w:pPr>
              <w:rPr>
                <w:b/>
              </w:rPr>
            </w:pPr>
          </w:p>
          <w:p>
            <w:pPr>
              <w:rPr>
                <w:b/>
              </w:rPr>
            </w:pPr>
            <w:r>
              <w:rPr>
                <w:rFonts w:hint="eastAsia"/>
                <w:b/>
              </w:rPr>
              <w:t>需要改进</w:t>
            </w:r>
          </w:p>
          <w:p>
            <w:pPr>
              <w:rPr>
                <w:b/>
              </w:rPr>
            </w:pPr>
            <w:r>
              <w:rPr>
                <w:rFonts w:hint="eastAsia"/>
                <w:b/>
              </w:rPr>
              <w:t>的建议</w:t>
            </w:r>
          </w:p>
        </w:tc>
        <w:tc>
          <w:tcPr>
            <w:tcW w:w="654" w:type="dxa"/>
            <w:shd w:val="clear" w:color="auto" w:fill="auto"/>
          </w:tcPr>
          <w:p/>
          <w:p/>
          <w:p>
            <w:r>
              <w:rPr>
                <w:rFonts w:hint="eastAsia"/>
              </w:rPr>
              <w:t>4</w:t>
            </w:r>
          </w:p>
        </w:tc>
        <w:tc>
          <w:tcPr>
            <w:tcW w:w="1386" w:type="dxa"/>
            <w:shd w:val="clear" w:color="auto" w:fill="auto"/>
          </w:tcPr>
          <w:p/>
          <w:p/>
          <w:p>
            <w:r>
              <w:rPr>
                <w:rFonts w:hint="eastAsia"/>
              </w:rPr>
              <w:t>20分</w:t>
            </w:r>
          </w:p>
          <w:p/>
        </w:tc>
        <w:tc>
          <w:tcPr>
            <w:tcW w:w="5074" w:type="dxa"/>
            <w:gridSpan w:val="3"/>
            <w:shd w:val="clear" w:color="auto" w:fill="auto"/>
          </w:tcPr>
          <w:p/>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1300" w:type="dxa"/>
            <w:shd w:val="clear" w:color="auto" w:fill="auto"/>
          </w:tcPr>
          <w:p>
            <w:pPr>
              <w:rPr>
                <w:b/>
              </w:rPr>
            </w:pPr>
          </w:p>
          <w:p>
            <w:pPr>
              <w:rPr>
                <w:b/>
              </w:rPr>
            </w:pPr>
            <w:r>
              <w:rPr>
                <w:rFonts w:hint="eastAsia"/>
                <w:b/>
              </w:rPr>
              <w:t>最希望合作哪方面工作</w:t>
            </w:r>
          </w:p>
        </w:tc>
        <w:tc>
          <w:tcPr>
            <w:tcW w:w="654" w:type="dxa"/>
            <w:shd w:val="clear" w:color="auto" w:fill="auto"/>
          </w:tcPr>
          <w:p/>
          <w:p/>
          <w:p>
            <w:r>
              <w:rPr>
                <w:rFonts w:hint="eastAsia"/>
              </w:rPr>
              <w:t>5</w:t>
            </w:r>
          </w:p>
        </w:tc>
        <w:tc>
          <w:tcPr>
            <w:tcW w:w="1386" w:type="dxa"/>
            <w:shd w:val="clear" w:color="auto" w:fill="auto"/>
          </w:tcPr>
          <w:p/>
          <w:p/>
          <w:p>
            <w:r>
              <w:rPr>
                <w:rFonts w:hint="eastAsia"/>
              </w:rPr>
              <w:t>20分</w:t>
            </w:r>
          </w:p>
        </w:tc>
        <w:tc>
          <w:tcPr>
            <w:tcW w:w="5074" w:type="dxa"/>
            <w:gridSpan w:val="3"/>
            <w:shd w:val="clear" w:color="auto" w:fill="auto"/>
          </w:tcPr>
          <w:p/>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1300" w:type="dxa"/>
            <w:shd w:val="clear" w:color="auto" w:fill="auto"/>
          </w:tcPr>
          <w:p>
            <w:pPr>
              <w:rPr>
                <w:b/>
              </w:rPr>
            </w:pPr>
          </w:p>
          <w:p>
            <w:pPr>
              <w:rPr>
                <w:b/>
              </w:rPr>
            </w:pPr>
          </w:p>
          <w:p>
            <w:pPr>
              <w:jc w:val="center"/>
              <w:rPr>
                <w:b/>
              </w:rPr>
            </w:pPr>
            <w:r>
              <w:rPr>
                <w:rFonts w:hint="eastAsia"/>
                <w:b/>
              </w:rPr>
              <w:t>评语</w:t>
            </w:r>
          </w:p>
        </w:tc>
        <w:tc>
          <w:tcPr>
            <w:tcW w:w="7114" w:type="dxa"/>
            <w:gridSpan w:val="5"/>
            <w:shd w:val="clear" w:color="auto" w:fill="auto"/>
          </w:tcPr>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shd w:val="clear" w:color="auto" w:fill="auto"/>
          </w:tcPr>
          <w:p>
            <w:pPr>
              <w:rPr>
                <w:b/>
              </w:rPr>
            </w:pPr>
            <w:r>
              <w:rPr>
                <w:rFonts w:hint="eastAsia"/>
                <w:b/>
              </w:rPr>
              <w:t>结论（1-5项总分）</w:t>
            </w:r>
          </w:p>
        </w:tc>
        <w:tc>
          <w:tcPr>
            <w:tcW w:w="7114" w:type="dxa"/>
            <w:gridSpan w:val="5"/>
            <w:shd w:val="clear" w:color="auto" w:fill="auto"/>
          </w:tcPr>
          <w:p/>
        </w:tc>
      </w:tr>
    </w:tbl>
    <w:p>
      <w:pPr>
        <w:spacing w:line="360" w:lineRule="auto"/>
        <w:outlineLvl w:val="1"/>
        <w:rPr>
          <w:rFonts w:hint="eastAsia" w:asciiTheme="minorEastAsia" w:hAnsiTheme="minorEastAsia"/>
          <w:sz w:val="24"/>
          <w:szCs w:val="24"/>
        </w:rPr>
      </w:pPr>
      <w:bookmarkStart w:id="111" w:name="_Toc403829229"/>
    </w:p>
    <w:p>
      <w:pPr>
        <w:spacing w:line="360" w:lineRule="auto"/>
        <w:outlineLvl w:val="1"/>
        <w:rPr>
          <w:rFonts w:hint="eastAsia" w:asciiTheme="minorEastAsia" w:hAnsiTheme="minorEastAsia"/>
          <w:sz w:val="24"/>
          <w:szCs w:val="24"/>
        </w:rPr>
      </w:pPr>
    </w:p>
    <w:p>
      <w:pPr>
        <w:spacing w:line="360" w:lineRule="auto"/>
        <w:outlineLvl w:val="1"/>
        <w:rPr>
          <w:rFonts w:asciiTheme="minorEastAsia" w:hAnsiTheme="minorEastAsia"/>
          <w:sz w:val="24"/>
          <w:szCs w:val="24"/>
        </w:rPr>
      </w:pPr>
      <w:bookmarkStart w:id="112" w:name="_Toc9469"/>
      <w:r>
        <w:rPr>
          <w:rFonts w:hint="eastAsia" w:asciiTheme="minorEastAsia" w:hAnsiTheme="minorEastAsia"/>
          <w:sz w:val="24"/>
          <w:szCs w:val="24"/>
        </w:rPr>
        <w:t>附件17-5：《离职申请表》</w:t>
      </w:r>
      <w:bookmarkEnd w:id="111"/>
      <w:bookmarkEnd w:id="112"/>
    </w:p>
    <w:p>
      <w:pPr>
        <w:spacing w:line="360" w:lineRule="auto"/>
        <w:jc w:val="center"/>
        <w:rPr>
          <w:rFonts w:ascii="微软雅黑" w:hAnsi="微软雅黑" w:eastAsia="微软雅黑" w:cs="宋体"/>
          <w:b/>
          <w:bCs/>
          <w:sz w:val="28"/>
          <w:szCs w:val="28"/>
        </w:rPr>
      </w:pPr>
      <w:r>
        <w:rPr>
          <w:rFonts w:hint="eastAsia" w:ascii="微软雅黑" w:hAnsi="微软雅黑" w:eastAsia="微软雅黑" w:cs="宋体"/>
          <w:b/>
          <w:bCs/>
          <w:sz w:val="28"/>
          <w:szCs w:val="28"/>
          <w:lang w:eastAsia="zh-CN"/>
        </w:rPr>
        <w:t>北京天地文化发展</w:t>
      </w:r>
      <w:r>
        <w:rPr>
          <w:rFonts w:hint="eastAsia" w:ascii="微软雅黑" w:hAnsi="微软雅黑" w:eastAsia="微软雅黑" w:cs="宋体"/>
          <w:b/>
          <w:bCs/>
          <w:sz w:val="28"/>
          <w:szCs w:val="28"/>
        </w:rPr>
        <w:t>基金会员工离职申请表</w:t>
      </w:r>
    </w:p>
    <w:p>
      <w:pPr>
        <w:spacing w:line="360" w:lineRule="auto"/>
        <w:jc w:val="center"/>
        <w:rPr>
          <w:rFonts w:ascii="微软雅黑" w:hAnsi="微软雅黑" w:eastAsia="微软雅黑" w:cs="宋体"/>
          <w:b/>
          <w:bCs/>
          <w:sz w:val="28"/>
          <w:szCs w:val="28"/>
        </w:rPr>
      </w:pPr>
      <w:r>
        <w:rPr>
          <w:rFonts w:hint="eastAsia" w:ascii="微软雅黑" w:hAnsi="微软雅黑" w:eastAsia="微软雅黑" w:cs="宋体"/>
          <w:b/>
          <w:bCs/>
          <w:sz w:val="28"/>
          <w:szCs w:val="28"/>
        </w:rPr>
        <mc:AlternateContent>
          <mc:Choice Requires="wps">
            <w:drawing>
              <wp:anchor distT="0" distB="0" distL="114300" distR="114300" simplePos="0" relativeHeight="251667456" behindDoc="0" locked="0" layoutInCell="1" allowOverlap="1">
                <wp:simplePos x="0" y="0"/>
                <wp:positionH relativeFrom="column">
                  <wp:posOffset>7620</wp:posOffset>
                </wp:positionH>
                <wp:positionV relativeFrom="paragraph">
                  <wp:posOffset>121920</wp:posOffset>
                </wp:positionV>
                <wp:extent cx="5276850" cy="7101840"/>
                <wp:effectExtent l="0" t="0" r="19050" b="22860"/>
                <wp:wrapNone/>
                <wp:docPr id="1" name="文本框 1"/>
                <wp:cNvGraphicFramePr/>
                <a:graphic xmlns:a="http://schemas.openxmlformats.org/drawingml/2006/main">
                  <a:graphicData uri="http://schemas.microsoft.com/office/word/2010/wordprocessingShape">
                    <wps:wsp>
                      <wps:cNvSpPr txBox="1"/>
                      <wps:spPr>
                        <a:xfrm>
                          <a:off x="0" y="0"/>
                          <a:ext cx="5276850" cy="7101840"/>
                        </a:xfrm>
                        <a:prstGeom prst="rect">
                          <a:avLst/>
                        </a:prstGeom>
                        <a:solidFill>
                          <a:sysClr val="window" lastClr="FFFFFF"/>
                        </a:solidFill>
                        <a:ln w="6350">
                          <a:solidFill>
                            <a:prstClr val="black"/>
                          </a:solidFill>
                        </a:ln>
                        <a:effectLst/>
                      </wps:spPr>
                      <wps:txbx>
                        <w:txbxContent>
                          <w:p/>
                          <w:p>
                            <w:pPr>
                              <w:rPr>
                                <w:sz w:val="24"/>
                                <w:szCs w:val="24"/>
                              </w:rPr>
                            </w:pPr>
                            <w:r>
                              <w:rPr>
                                <w:rFonts w:hint="eastAsia"/>
                                <w:sz w:val="24"/>
                                <w:szCs w:val="24"/>
                              </w:rPr>
                              <w:t>致：</w:t>
                            </w:r>
                            <w:r>
                              <w:rPr>
                                <w:rFonts w:hint="eastAsia"/>
                                <w:sz w:val="24"/>
                                <w:szCs w:val="24"/>
                                <w:u w:val="single"/>
                              </w:rPr>
                              <w:t xml:space="preserve">                          </w:t>
                            </w:r>
                            <w:r>
                              <w:rPr>
                                <w:rFonts w:hint="eastAsia"/>
                                <w:sz w:val="24"/>
                                <w:szCs w:val="24"/>
                              </w:rPr>
                              <w:t xml:space="preserve">         </w:t>
                            </w:r>
                          </w:p>
                          <w:p>
                            <w:pPr>
                              <w:ind w:firstLine="420"/>
                              <w:rPr>
                                <w:sz w:val="24"/>
                                <w:szCs w:val="24"/>
                              </w:rPr>
                            </w:pPr>
                            <w:r>
                              <w:rPr>
                                <w:rFonts w:hint="eastAsia"/>
                                <w:sz w:val="24"/>
                                <w:szCs w:val="24"/>
                              </w:rPr>
                              <w:t>本人因故不能在本基金会继续工作，特此提出离职申请，并同意按照基金会离职手续办理。敬请领导批准。</w:t>
                            </w:r>
                          </w:p>
                          <w:p>
                            <w:pPr>
                              <w:ind w:firstLine="420"/>
                              <w:rPr>
                                <w:sz w:val="24"/>
                                <w:szCs w:val="24"/>
                              </w:rPr>
                            </w:pPr>
                            <w:r>
                              <w:rPr>
                                <w:rFonts w:hint="eastAsia"/>
                                <w:sz w:val="24"/>
                                <w:szCs w:val="24"/>
                              </w:rPr>
                              <w:t>员工姓名：</w:t>
                            </w:r>
                            <w:r>
                              <w:rPr>
                                <w:rFonts w:hint="eastAsia"/>
                                <w:sz w:val="24"/>
                                <w:szCs w:val="24"/>
                                <w:u w:val="single"/>
                              </w:rPr>
                              <w:t xml:space="preserve">                            </w:t>
                            </w:r>
                            <w:r>
                              <w:rPr>
                                <w:rFonts w:hint="eastAsia"/>
                                <w:sz w:val="24"/>
                                <w:szCs w:val="24"/>
                              </w:rPr>
                              <w:t>；</w:t>
                            </w:r>
                          </w:p>
                          <w:p>
                            <w:pPr>
                              <w:ind w:firstLine="420"/>
                              <w:rPr>
                                <w:sz w:val="24"/>
                                <w:szCs w:val="24"/>
                              </w:rPr>
                            </w:pPr>
                            <w:r>
                              <w:rPr>
                                <w:rFonts w:hint="eastAsia"/>
                                <w:sz w:val="24"/>
                                <w:szCs w:val="24"/>
                              </w:rPr>
                              <w:t>职务：</w:t>
                            </w:r>
                            <w:r>
                              <w:rPr>
                                <w:rFonts w:hint="eastAsia"/>
                                <w:sz w:val="24"/>
                                <w:szCs w:val="24"/>
                                <w:u w:val="single"/>
                              </w:rPr>
                              <w:t xml:space="preserve">                                </w:t>
                            </w:r>
                            <w:r>
                              <w:rPr>
                                <w:rFonts w:hint="eastAsia"/>
                                <w:sz w:val="24"/>
                                <w:szCs w:val="24"/>
                              </w:rPr>
                              <w:t xml:space="preserve">； </w:t>
                            </w:r>
                          </w:p>
                          <w:p>
                            <w:pPr>
                              <w:ind w:firstLine="420"/>
                              <w:rPr>
                                <w:sz w:val="24"/>
                                <w:szCs w:val="24"/>
                              </w:rPr>
                            </w:pPr>
                            <w:r>
                              <w:rPr>
                                <w:rFonts w:hint="eastAsia"/>
                                <w:sz w:val="24"/>
                                <w:szCs w:val="24"/>
                              </w:rPr>
                              <w:t>入职日期：</w:t>
                            </w:r>
                            <w:r>
                              <w:rPr>
                                <w:rFonts w:hint="eastAsia"/>
                                <w:sz w:val="24"/>
                                <w:szCs w:val="24"/>
                                <w:u w:val="single"/>
                              </w:rPr>
                              <w:t xml:space="preserve">                            </w:t>
                            </w:r>
                            <w:r>
                              <w:rPr>
                                <w:rFonts w:hint="eastAsia"/>
                                <w:sz w:val="24"/>
                                <w:szCs w:val="24"/>
                              </w:rPr>
                              <w:t>；</w:t>
                            </w:r>
                          </w:p>
                          <w:p>
                            <w:pPr>
                              <w:ind w:firstLine="420"/>
                              <w:rPr>
                                <w:sz w:val="24"/>
                                <w:szCs w:val="24"/>
                              </w:rPr>
                            </w:pPr>
                            <w:r>
                              <w:rPr>
                                <w:rFonts w:hint="eastAsia"/>
                                <w:sz w:val="24"/>
                                <w:szCs w:val="24"/>
                              </w:rPr>
                              <w:t>离职日期：</w:t>
                            </w:r>
                            <w:r>
                              <w:rPr>
                                <w:rFonts w:hint="eastAsia"/>
                                <w:sz w:val="24"/>
                                <w:szCs w:val="24"/>
                                <w:u w:val="single"/>
                              </w:rPr>
                              <w:t xml:space="preserve">                            </w:t>
                            </w:r>
                            <w:r>
                              <w:rPr>
                                <w:rFonts w:hint="eastAsia"/>
                                <w:sz w:val="24"/>
                                <w:szCs w:val="24"/>
                              </w:rPr>
                              <w:t>。</w:t>
                            </w:r>
                          </w:p>
                          <w:p>
                            <w:pPr>
                              <w:ind w:firstLine="420"/>
                              <w:rPr>
                                <w:sz w:val="24"/>
                                <w:szCs w:val="24"/>
                              </w:rPr>
                            </w:pPr>
                            <w:r>
                              <w:rPr>
                                <w:rFonts w:hint="eastAsia"/>
                                <w:sz w:val="24"/>
                                <w:szCs w:val="24"/>
                              </w:rPr>
                              <w:t>离职原因：请选择适合的原因</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更好的工作机会</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薪水不够</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工作环境不好</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工作压力大</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交通问题</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身体原因</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提升机会很少</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与同事关系不好</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 xml:space="preserve"> 另谋他就</w:t>
                            </w:r>
                          </w:p>
                          <w:p>
                            <w:pPr>
                              <w:ind w:firstLine="420"/>
                              <w:rPr>
                                <w:sz w:val="28"/>
                                <w:szCs w:val="28"/>
                                <w:u w:val="single"/>
                              </w:rPr>
                            </w:pPr>
                            <w:r>
                              <w:rPr>
                                <w:rFonts w:hint="eastAsia"/>
                                <w:sz w:val="24"/>
                                <w:szCs w:val="24"/>
                              </w:rPr>
                              <w:t xml:space="preserve">          </w:t>
                            </w:r>
                            <w:r>
                              <w:rPr>
                                <w:rFonts w:hint="eastAsia" w:ascii="宋体" w:hAnsi="宋体"/>
                                <w:sz w:val="24"/>
                                <w:szCs w:val="24"/>
                              </w:rPr>
                              <w:t>□</w:t>
                            </w:r>
                            <w:r>
                              <w:rPr>
                                <w:rFonts w:hint="eastAsia"/>
                                <w:sz w:val="24"/>
                                <w:szCs w:val="24"/>
                              </w:rPr>
                              <w:t>其他</w:t>
                            </w:r>
                            <w:r>
                              <w:rPr>
                                <w:rFonts w:hint="eastAsia"/>
                                <w:sz w:val="24"/>
                                <w:szCs w:val="24"/>
                                <w:u w:val="single"/>
                              </w:rPr>
                              <w:t xml:space="preserve">                                      </w:t>
                            </w:r>
                            <w:r>
                              <w:rPr>
                                <w:rFonts w:hint="eastAsia"/>
                                <w:sz w:val="28"/>
                                <w:szCs w:val="28"/>
                                <w:u w:val="single"/>
                              </w:rPr>
                              <w:t xml:space="preserve">                   </w:t>
                            </w:r>
                          </w:p>
                          <w:p>
                            <w:pPr>
                              <w:ind w:firstLine="420"/>
                              <w:rPr>
                                <w:sz w:val="28"/>
                                <w:szCs w:val="28"/>
                                <w:u w:val="single"/>
                              </w:rPr>
                            </w:pPr>
                          </w:p>
                          <w:p>
                            <w:pPr>
                              <w:ind w:firstLine="420"/>
                              <w:jc w:val="left"/>
                              <w:rPr>
                                <w:sz w:val="24"/>
                                <w:szCs w:val="24"/>
                                <w:u w:val="single"/>
                              </w:rPr>
                            </w:pPr>
                            <w:r>
                              <w:rPr>
                                <w:rFonts w:hint="eastAsia"/>
                                <w:sz w:val="28"/>
                                <w:szCs w:val="28"/>
                              </w:rPr>
                              <w:t xml:space="preserve"> </w:t>
                            </w:r>
                            <w:r>
                              <w:rPr>
                                <w:rFonts w:hint="eastAsia"/>
                                <w:sz w:val="24"/>
                                <w:szCs w:val="24"/>
                              </w:rPr>
                              <w:t>员工签名：</w:t>
                            </w:r>
                            <w:r>
                              <w:rPr>
                                <w:rFonts w:hint="eastAsia"/>
                                <w:sz w:val="24"/>
                                <w:szCs w:val="24"/>
                                <w:u w:val="single"/>
                              </w:rPr>
                              <w:t xml:space="preserve">                </w:t>
                            </w:r>
                            <w:r>
                              <w:rPr>
                                <w:rFonts w:hint="eastAsia"/>
                                <w:sz w:val="24"/>
                                <w:szCs w:val="24"/>
                              </w:rPr>
                              <w:t>日期：</w:t>
                            </w:r>
                            <w:r>
                              <w:rPr>
                                <w:rFonts w:hint="eastAsia"/>
                                <w:sz w:val="24"/>
                                <w:szCs w:val="24"/>
                                <w:u w:val="single"/>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6pt;margin-top:9.6pt;height:559.2pt;width:415.5pt;z-index:251667456;mso-width-relative:page;mso-height-relative:page;" fillcolor="#FFFFFF" filled="t" stroked="t" coordsize="21600,21600" o:gfxdata="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oSe1k0wAAAAkBAAAPAAAAAAAAAAEAIAAAACIAAABkcnMvZG93bnJldi54bWxQSwECFAAU&#10;AAAACACHTuJASbwcy2gCAADWBAAADgAAAAAAAAABACAAAAAiAQAAZHJzL2Uyb0RvYy54bWxQSwUG&#10;AAAAAAYABgBZAQAA/AUAAAAA&#10;">
                <v:fill on="t" focussize="0,0"/>
                <v:stroke weight="0.5pt" color="#000000" joinstyle="round"/>
                <v:imagedata o:title=""/>
                <o:lock v:ext="edit" aspectratio="f"/>
                <v:textbox>
                  <w:txbxContent>
                    <w:p/>
                    <w:p>
                      <w:pPr>
                        <w:rPr>
                          <w:sz w:val="24"/>
                          <w:szCs w:val="24"/>
                        </w:rPr>
                      </w:pPr>
                      <w:r>
                        <w:rPr>
                          <w:rFonts w:hint="eastAsia"/>
                          <w:sz w:val="24"/>
                          <w:szCs w:val="24"/>
                        </w:rPr>
                        <w:t>致：</w:t>
                      </w:r>
                      <w:r>
                        <w:rPr>
                          <w:rFonts w:hint="eastAsia"/>
                          <w:sz w:val="24"/>
                          <w:szCs w:val="24"/>
                          <w:u w:val="single"/>
                        </w:rPr>
                        <w:t xml:space="preserve">                          </w:t>
                      </w:r>
                      <w:r>
                        <w:rPr>
                          <w:rFonts w:hint="eastAsia"/>
                          <w:sz w:val="24"/>
                          <w:szCs w:val="24"/>
                        </w:rPr>
                        <w:t xml:space="preserve">         </w:t>
                      </w:r>
                    </w:p>
                    <w:p>
                      <w:pPr>
                        <w:ind w:firstLine="420"/>
                        <w:rPr>
                          <w:sz w:val="24"/>
                          <w:szCs w:val="24"/>
                        </w:rPr>
                      </w:pPr>
                      <w:r>
                        <w:rPr>
                          <w:rFonts w:hint="eastAsia"/>
                          <w:sz w:val="24"/>
                          <w:szCs w:val="24"/>
                        </w:rPr>
                        <w:t>本人因故不能在本基金会继续工作，特此提出离职申请，并同意按照基金会离职手续办理。敬请领导批准。</w:t>
                      </w:r>
                    </w:p>
                    <w:p>
                      <w:pPr>
                        <w:ind w:firstLine="420"/>
                        <w:rPr>
                          <w:sz w:val="24"/>
                          <w:szCs w:val="24"/>
                        </w:rPr>
                      </w:pPr>
                      <w:r>
                        <w:rPr>
                          <w:rFonts w:hint="eastAsia"/>
                          <w:sz w:val="24"/>
                          <w:szCs w:val="24"/>
                        </w:rPr>
                        <w:t>员工姓名：</w:t>
                      </w:r>
                      <w:r>
                        <w:rPr>
                          <w:rFonts w:hint="eastAsia"/>
                          <w:sz w:val="24"/>
                          <w:szCs w:val="24"/>
                          <w:u w:val="single"/>
                        </w:rPr>
                        <w:t xml:space="preserve">                            </w:t>
                      </w:r>
                      <w:r>
                        <w:rPr>
                          <w:rFonts w:hint="eastAsia"/>
                          <w:sz w:val="24"/>
                          <w:szCs w:val="24"/>
                        </w:rPr>
                        <w:t>；</w:t>
                      </w:r>
                    </w:p>
                    <w:p>
                      <w:pPr>
                        <w:ind w:firstLine="420"/>
                        <w:rPr>
                          <w:sz w:val="24"/>
                          <w:szCs w:val="24"/>
                        </w:rPr>
                      </w:pPr>
                      <w:r>
                        <w:rPr>
                          <w:rFonts w:hint="eastAsia"/>
                          <w:sz w:val="24"/>
                          <w:szCs w:val="24"/>
                        </w:rPr>
                        <w:t>职务：</w:t>
                      </w:r>
                      <w:r>
                        <w:rPr>
                          <w:rFonts w:hint="eastAsia"/>
                          <w:sz w:val="24"/>
                          <w:szCs w:val="24"/>
                          <w:u w:val="single"/>
                        </w:rPr>
                        <w:t xml:space="preserve">                                </w:t>
                      </w:r>
                      <w:r>
                        <w:rPr>
                          <w:rFonts w:hint="eastAsia"/>
                          <w:sz w:val="24"/>
                          <w:szCs w:val="24"/>
                        </w:rPr>
                        <w:t xml:space="preserve">； </w:t>
                      </w:r>
                    </w:p>
                    <w:p>
                      <w:pPr>
                        <w:ind w:firstLine="420"/>
                        <w:rPr>
                          <w:sz w:val="24"/>
                          <w:szCs w:val="24"/>
                        </w:rPr>
                      </w:pPr>
                      <w:r>
                        <w:rPr>
                          <w:rFonts w:hint="eastAsia"/>
                          <w:sz w:val="24"/>
                          <w:szCs w:val="24"/>
                        </w:rPr>
                        <w:t>入职日期：</w:t>
                      </w:r>
                      <w:r>
                        <w:rPr>
                          <w:rFonts w:hint="eastAsia"/>
                          <w:sz w:val="24"/>
                          <w:szCs w:val="24"/>
                          <w:u w:val="single"/>
                        </w:rPr>
                        <w:t xml:space="preserve">                            </w:t>
                      </w:r>
                      <w:r>
                        <w:rPr>
                          <w:rFonts w:hint="eastAsia"/>
                          <w:sz w:val="24"/>
                          <w:szCs w:val="24"/>
                        </w:rPr>
                        <w:t>；</w:t>
                      </w:r>
                    </w:p>
                    <w:p>
                      <w:pPr>
                        <w:ind w:firstLine="420"/>
                        <w:rPr>
                          <w:sz w:val="24"/>
                          <w:szCs w:val="24"/>
                        </w:rPr>
                      </w:pPr>
                      <w:r>
                        <w:rPr>
                          <w:rFonts w:hint="eastAsia"/>
                          <w:sz w:val="24"/>
                          <w:szCs w:val="24"/>
                        </w:rPr>
                        <w:t>离职日期：</w:t>
                      </w:r>
                      <w:r>
                        <w:rPr>
                          <w:rFonts w:hint="eastAsia"/>
                          <w:sz w:val="24"/>
                          <w:szCs w:val="24"/>
                          <w:u w:val="single"/>
                        </w:rPr>
                        <w:t xml:space="preserve">                            </w:t>
                      </w:r>
                      <w:r>
                        <w:rPr>
                          <w:rFonts w:hint="eastAsia"/>
                          <w:sz w:val="24"/>
                          <w:szCs w:val="24"/>
                        </w:rPr>
                        <w:t>。</w:t>
                      </w:r>
                    </w:p>
                    <w:p>
                      <w:pPr>
                        <w:ind w:firstLine="420"/>
                        <w:rPr>
                          <w:sz w:val="24"/>
                          <w:szCs w:val="24"/>
                        </w:rPr>
                      </w:pPr>
                      <w:r>
                        <w:rPr>
                          <w:rFonts w:hint="eastAsia"/>
                          <w:sz w:val="24"/>
                          <w:szCs w:val="24"/>
                        </w:rPr>
                        <w:t>离职原因：请选择适合的原因</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更好的工作机会</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薪水不够</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工作环境不好</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工作压力大</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交通问题</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身体原因</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提升机会很少</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与同事关系不好</w:t>
                      </w:r>
                    </w:p>
                    <w:p>
                      <w:pPr>
                        <w:ind w:firstLine="420"/>
                        <w:rPr>
                          <w:sz w:val="24"/>
                          <w:szCs w:val="24"/>
                        </w:rPr>
                      </w:pPr>
                      <w:r>
                        <w:rPr>
                          <w:rFonts w:hint="eastAsia"/>
                          <w:sz w:val="24"/>
                          <w:szCs w:val="24"/>
                        </w:rPr>
                        <w:t xml:space="preserve">          </w:t>
                      </w:r>
                      <w:r>
                        <w:rPr>
                          <w:rFonts w:hint="eastAsia" w:ascii="宋体" w:hAnsi="宋体"/>
                          <w:sz w:val="24"/>
                          <w:szCs w:val="24"/>
                        </w:rPr>
                        <w:t>□</w:t>
                      </w:r>
                      <w:r>
                        <w:rPr>
                          <w:rFonts w:hint="eastAsia"/>
                          <w:sz w:val="24"/>
                          <w:szCs w:val="24"/>
                        </w:rPr>
                        <w:t xml:space="preserve"> 另谋他就</w:t>
                      </w:r>
                    </w:p>
                    <w:p>
                      <w:pPr>
                        <w:ind w:firstLine="420"/>
                        <w:rPr>
                          <w:sz w:val="28"/>
                          <w:szCs w:val="28"/>
                          <w:u w:val="single"/>
                        </w:rPr>
                      </w:pPr>
                      <w:r>
                        <w:rPr>
                          <w:rFonts w:hint="eastAsia"/>
                          <w:sz w:val="24"/>
                          <w:szCs w:val="24"/>
                        </w:rPr>
                        <w:t xml:space="preserve">          </w:t>
                      </w:r>
                      <w:r>
                        <w:rPr>
                          <w:rFonts w:hint="eastAsia" w:ascii="宋体" w:hAnsi="宋体"/>
                          <w:sz w:val="24"/>
                          <w:szCs w:val="24"/>
                        </w:rPr>
                        <w:t>□</w:t>
                      </w:r>
                      <w:r>
                        <w:rPr>
                          <w:rFonts w:hint="eastAsia"/>
                          <w:sz w:val="24"/>
                          <w:szCs w:val="24"/>
                        </w:rPr>
                        <w:t>其他</w:t>
                      </w:r>
                      <w:r>
                        <w:rPr>
                          <w:rFonts w:hint="eastAsia"/>
                          <w:sz w:val="24"/>
                          <w:szCs w:val="24"/>
                          <w:u w:val="single"/>
                        </w:rPr>
                        <w:t xml:space="preserve">                                      </w:t>
                      </w:r>
                      <w:r>
                        <w:rPr>
                          <w:rFonts w:hint="eastAsia"/>
                          <w:sz w:val="28"/>
                          <w:szCs w:val="28"/>
                          <w:u w:val="single"/>
                        </w:rPr>
                        <w:t xml:space="preserve">                   </w:t>
                      </w:r>
                    </w:p>
                    <w:p>
                      <w:pPr>
                        <w:ind w:firstLine="420"/>
                        <w:rPr>
                          <w:sz w:val="28"/>
                          <w:szCs w:val="28"/>
                          <w:u w:val="single"/>
                        </w:rPr>
                      </w:pPr>
                    </w:p>
                    <w:p>
                      <w:pPr>
                        <w:ind w:firstLine="420"/>
                        <w:jc w:val="left"/>
                        <w:rPr>
                          <w:sz w:val="24"/>
                          <w:szCs w:val="24"/>
                          <w:u w:val="single"/>
                        </w:rPr>
                      </w:pPr>
                      <w:r>
                        <w:rPr>
                          <w:rFonts w:hint="eastAsia"/>
                          <w:sz w:val="28"/>
                          <w:szCs w:val="28"/>
                        </w:rPr>
                        <w:t xml:space="preserve"> </w:t>
                      </w:r>
                      <w:r>
                        <w:rPr>
                          <w:rFonts w:hint="eastAsia"/>
                          <w:sz w:val="24"/>
                          <w:szCs w:val="24"/>
                        </w:rPr>
                        <w:t>员工签名：</w:t>
                      </w:r>
                      <w:r>
                        <w:rPr>
                          <w:rFonts w:hint="eastAsia"/>
                          <w:sz w:val="24"/>
                          <w:szCs w:val="24"/>
                          <w:u w:val="single"/>
                        </w:rPr>
                        <w:t xml:space="preserve">                </w:t>
                      </w:r>
                      <w:r>
                        <w:rPr>
                          <w:rFonts w:hint="eastAsia"/>
                          <w:sz w:val="24"/>
                          <w:szCs w:val="24"/>
                        </w:rPr>
                        <w:t>日期：</w:t>
                      </w:r>
                      <w:r>
                        <w:rPr>
                          <w:rFonts w:hint="eastAsia"/>
                          <w:sz w:val="24"/>
                          <w:szCs w:val="24"/>
                          <w:u w:val="single"/>
                        </w:rPr>
                        <w:t xml:space="preserve">                                </w:t>
                      </w:r>
                    </w:p>
                  </w:txbxContent>
                </v:textbox>
              </v:shape>
            </w:pict>
          </mc:Fallback>
        </mc:AlternateContent>
      </w: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spacing w:line="500" w:lineRule="atLeast"/>
        <w:rPr>
          <w:rFonts w:ascii="宋体" w:hAnsi="宋体" w:cs="宋体"/>
          <w:sz w:val="24"/>
        </w:rPr>
      </w:pPr>
    </w:p>
    <w:p>
      <w:pPr>
        <w:rPr>
          <w:sz w:val="28"/>
          <w:szCs w:val="28"/>
        </w:rPr>
      </w:pPr>
    </w:p>
    <w:p>
      <w:pPr>
        <w:rPr>
          <w:sz w:val="28"/>
          <w:szCs w:val="28"/>
        </w:rPr>
      </w:pPr>
    </w:p>
    <w:p>
      <w:pPr>
        <w:rPr>
          <w:sz w:val="28"/>
          <w:szCs w:val="28"/>
        </w:rPr>
      </w:pPr>
    </w:p>
    <w:p>
      <w:pPr>
        <w:rPr>
          <w:sz w:val="28"/>
          <w:szCs w:val="28"/>
        </w:rPr>
      </w:pPr>
    </w:p>
    <w:p>
      <w:pPr>
        <w:spacing w:line="360" w:lineRule="auto"/>
        <w:rPr>
          <w:sz w:val="24"/>
          <w:szCs w:val="24"/>
        </w:rPr>
      </w:pPr>
    </w:p>
    <w:p>
      <w:pPr>
        <w:spacing w:line="360" w:lineRule="auto"/>
        <w:outlineLvl w:val="1"/>
        <w:rPr>
          <w:rFonts w:hint="eastAsia" w:asciiTheme="minorEastAsia" w:hAnsiTheme="minorEastAsia"/>
          <w:sz w:val="24"/>
          <w:szCs w:val="24"/>
        </w:rPr>
      </w:pPr>
      <w:bookmarkStart w:id="113" w:name="_Toc403829230"/>
    </w:p>
    <w:p>
      <w:pPr>
        <w:spacing w:line="360" w:lineRule="auto"/>
        <w:outlineLvl w:val="1"/>
        <w:rPr>
          <w:rFonts w:asciiTheme="minorEastAsia" w:hAnsiTheme="minorEastAsia"/>
          <w:sz w:val="24"/>
          <w:szCs w:val="24"/>
        </w:rPr>
      </w:pPr>
      <w:bookmarkStart w:id="114" w:name="_Toc21391"/>
      <w:r>
        <w:rPr>
          <w:rFonts w:hint="eastAsia" w:asciiTheme="minorEastAsia" w:hAnsiTheme="minorEastAsia"/>
          <w:sz w:val="24"/>
          <w:szCs w:val="24"/>
        </w:rPr>
        <w:t>附件17-6：《员工辞/离职交接表》</w:t>
      </w:r>
      <w:bookmarkEnd w:id="113"/>
      <w:bookmarkEnd w:id="114"/>
    </w:p>
    <w:p>
      <w:pPr>
        <w:spacing w:line="360" w:lineRule="auto"/>
        <w:jc w:val="center"/>
        <w:rPr>
          <w:rFonts w:ascii="微软雅黑" w:hAnsi="微软雅黑" w:eastAsia="微软雅黑" w:cs="宋体"/>
          <w:b/>
          <w:bCs/>
          <w:sz w:val="28"/>
          <w:szCs w:val="28"/>
        </w:rPr>
      </w:pPr>
      <w:r>
        <w:rPr>
          <w:rFonts w:hint="eastAsia" w:ascii="微软雅黑" w:hAnsi="微软雅黑" w:eastAsia="微软雅黑" w:cs="宋体"/>
          <w:b/>
          <w:bCs/>
          <w:sz w:val="28"/>
          <w:szCs w:val="28"/>
          <w:lang w:eastAsia="zh-CN"/>
        </w:rPr>
        <w:t>北京天地文化发展</w:t>
      </w:r>
      <w:r>
        <w:rPr>
          <w:rFonts w:hint="eastAsia" w:ascii="微软雅黑" w:hAnsi="微软雅黑" w:eastAsia="微软雅黑" w:cs="宋体"/>
          <w:b/>
          <w:bCs/>
          <w:sz w:val="28"/>
          <w:szCs w:val="28"/>
        </w:rPr>
        <w:t>基金会员工辞/离职交接表</w:t>
      </w:r>
    </w:p>
    <w:p>
      <w:pPr>
        <w:spacing w:line="360" w:lineRule="auto"/>
        <w:jc w:val="center"/>
        <w:rPr>
          <w:sz w:val="28"/>
          <w:szCs w:val="28"/>
        </w:rPr>
      </w:pPr>
      <w:r>
        <w:rPr>
          <w:rFonts w:hint="eastAsia"/>
          <w:b/>
          <w:sz w:val="48"/>
          <w:szCs w:val="48"/>
        </w:rPr>
        <w:t xml:space="preserve">                        </w:t>
      </w:r>
      <w:r>
        <w:rPr>
          <w:rFonts w:hint="eastAsia"/>
          <w:sz w:val="28"/>
          <w:szCs w:val="28"/>
        </w:rPr>
        <w:t>年     月     日</w:t>
      </w:r>
    </w:p>
    <w:tbl>
      <w:tblPr>
        <w:tblStyle w:val="9"/>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947"/>
        <w:gridCol w:w="1894"/>
        <w:gridCol w:w="1894"/>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785" w:type="dxa"/>
            <w:gridSpan w:val="2"/>
            <w:shd w:val="clear" w:color="auto" w:fill="auto"/>
          </w:tcPr>
          <w:p>
            <w:pPr>
              <w:jc w:val="center"/>
              <w:rPr>
                <w:rFonts w:ascii="Calibri" w:hAnsi="Calibri" w:cs="Calibri"/>
                <w:sz w:val="24"/>
              </w:rPr>
            </w:pPr>
            <w:r>
              <w:rPr>
                <w:rFonts w:ascii="Calibri" w:hAnsi="Calibri" w:cs="Calibri"/>
                <w:sz w:val="24"/>
              </w:rPr>
              <w:t>姓名</w:t>
            </w:r>
          </w:p>
        </w:tc>
        <w:tc>
          <w:tcPr>
            <w:tcW w:w="1894" w:type="dxa"/>
            <w:shd w:val="clear" w:color="auto" w:fill="auto"/>
          </w:tcPr>
          <w:p>
            <w:pPr>
              <w:jc w:val="center"/>
              <w:rPr>
                <w:rFonts w:ascii="Calibri" w:hAnsi="Calibri" w:cs="Calibri"/>
                <w:sz w:val="24"/>
              </w:rPr>
            </w:pPr>
            <w:r>
              <w:rPr>
                <w:rFonts w:ascii="Calibri" w:hAnsi="Calibri" w:cs="Calibri"/>
                <w:sz w:val="24"/>
              </w:rPr>
              <w:t>部门</w:t>
            </w:r>
          </w:p>
        </w:tc>
        <w:tc>
          <w:tcPr>
            <w:tcW w:w="1894" w:type="dxa"/>
            <w:shd w:val="clear" w:color="auto" w:fill="auto"/>
          </w:tcPr>
          <w:p>
            <w:pPr>
              <w:jc w:val="center"/>
              <w:rPr>
                <w:rFonts w:ascii="Calibri" w:hAnsi="Calibri" w:cs="Calibri"/>
                <w:sz w:val="24"/>
              </w:rPr>
            </w:pPr>
            <w:r>
              <w:rPr>
                <w:rFonts w:ascii="Calibri" w:hAnsi="Calibri" w:cs="Calibri"/>
                <w:sz w:val="24"/>
              </w:rPr>
              <w:t>职务</w:t>
            </w:r>
          </w:p>
        </w:tc>
        <w:tc>
          <w:tcPr>
            <w:tcW w:w="2841" w:type="dxa"/>
            <w:shd w:val="clear" w:color="auto" w:fill="auto"/>
          </w:tcPr>
          <w:p>
            <w:pPr>
              <w:jc w:val="center"/>
              <w:rPr>
                <w:rFonts w:ascii="Calibri" w:hAnsi="Calibri" w:cs="Calibri"/>
                <w:sz w:val="24"/>
              </w:rPr>
            </w:pPr>
            <w:r>
              <w:rPr>
                <w:rFonts w:ascii="Calibri" w:hAnsi="Calibri" w:cs="Calibri"/>
                <w:sz w:val="24"/>
              </w:rPr>
              <w:t>工作起止日期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785" w:type="dxa"/>
            <w:gridSpan w:val="2"/>
            <w:shd w:val="clear" w:color="auto" w:fill="auto"/>
          </w:tcPr>
          <w:p>
            <w:pPr>
              <w:rPr>
                <w:rFonts w:ascii="Calibri" w:hAnsi="Calibri" w:cs="Calibri"/>
                <w:sz w:val="24"/>
              </w:rPr>
            </w:pPr>
          </w:p>
        </w:tc>
        <w:tc>
          <w:tcPr>
            <w:tcW w:w="1894" w:type="dxa"/>
            <w:shd w:val="clear" w:color="auto" w:fill="auto"/>
          </w:tcPr>
          <w:p>
            <w:pPr>
              <w:rPr>
                <w:rFonts w:ascii="Calibri" w:hAnsi="Calibri" w:cs="Calibri"/>
                <w:sz w:val="24"/>
              </w:rPr>
            </w:pPr>
          </w:p>
        </w:tc>
        <w:tc>
          <w:tcPr>
            <w:tcW w:w="1894" w:type="dxa"/>
            <w:shd w:val="clear" w:color="auto" w:fill="auto"/>
          </w:tcPr>
          <w:p>
            <w:pPr>
              <w:rPr>
                <w:rFonts w:ascii="Calibri" w:hAnsi="Calibri" w:cs="Calibri"/>
                <w:sz w:val="24"/>
              </w:rPr>
            </w:pPr>
          </w:p>
        </w:tc>
        <w:tc>
          <w:tcPr>
            <w:tcW w:w="2841" w:type="dxa"/>
            <w:shd w:val="clear" w:color="auto" w:fill="auto"/>
          </w:tcPr>
          <w:p>
            <w:pPr>
              <w:rPr>
                <w:rFonts w:ascii="Calibri" w:hAnsi="Calibri" w:cs="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8414" w:type="dxa"/>
            <w:gridSpan w:val="5"/>
            <w:shd w:val="clear" w:color="auto" w:fill="auto"/>
          </w:tcPr>
          <w:p>
            <w:pPr>
              <w:jc w:val="center"/>
              <w:rPr>
                <w:rFonts w:ascii="Calibri" w:hAnsi="Calibri" w:cs="Calibri"/>
                <w:b/>
                <w:sz w:val="24"/>
              </w:rPr>
            </w:pPr>
            <w:r>
              <w:rPr>
                <w:rFonts w:ascii="Calibri" w:hAnsi="Calibri" w:cs="Calibri"/>
                <w:b/>
                <w:sz w:val="24"/>
              </w:rPr>
              <w:t>交接内容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dxa"/>
            <w:shd w:val="clear" w:color="auto" w:fill="auto"/>
          </w:tcPr>
          <w:p>
            <w:pPr>
              <w:jc w:val="center"/>
              <w:rPr>
                <w:rFonts w:ascii="Calibri" w:hAnsi="Calibri" w:cs="Calibri"/>
                <w:sz w:val="24"/>
              </w:rPr>
            </w:pPr>
            <w:r>
              <w:rPr>
                <w:rFonts w:ascii="Calibri" w:hAnsi="Calibri" w:cs="Calibri"/>
                <w:sz w:val="24"/>
              </w:rPr>
              <w:t>所</w:t>
            </w:r>
          </w:p>
          <w:p>
            <w:pPr>
              <w:jc w:val="center"/>
              <w:rPr>
                <w:rFonts w:ascii="Calibri" w:hAnsi="Calibri" w:cs="Calibri"/>
                <w:sz w:val="24"/>
              </w:rPr>
            </w:pPr>
            <w:r>
              <w:rPr>
                <w:rFonts w:ascii="Calibri" w:hAnsi="Calibri" w:cs="Calibri"/>
                <w:sz w:val="24"/>
              </w:rPr>
              <w:t>在</w:t>
            </w:r>
          </w:p>
          <w:p>
            <w:pPr>
              <w:jc w:val="center"/>
              <w:rPr>
                <w:rFonts w:ascii="Calibri" w:hAnsi="Calibri" w:cs="Calibri"/>
                <w:sz w:val="24"/>
              </w:rPr>
            </w:pPr>
            <w:r>
              <w:rPr>
                <w:rFonts w:ascii="Calibri" w:hAnsi="Calibri" w:cs="Calibri"/>
                <w:sz w:val="24"/>
              </w:rPr>
              <w:t>部</w:t>
            </w:r>
          </w:p>
          <w:p>
            <w:pPr>
              <w:jc w:val="center"/>
              <w:rPr>
                <w:rFonts w:ascii="Calibri" w:hAnsi="Calibri" w:cs="Calibri"/>
                <w:sz w:val="24"/>
              </w:rPr>
            </w:pPr>
            <w:r>
              <w:rPr>
                <w:rFonts w:ascii="Calibri" w:hAnsi="Calibri" w:cs="Calibri"/>
                <w:sz w:val="24"/>
              </w:rPr>
              <w:t>门</w:t>
            </w:r>
          </w:p>
        </w:tc>
        <w:tc>
          <w:tcPr>
            <w:tcW w:w="7576" w:type="dxa"/>
            <w:gridSpan w:val="4"/>
            <w:shd w:val="clear" w:color="auto" w:fill="auto"/>
          </w:tcPr>
          <w:p>
            <w:pPr>
              <w:rPr>
                <w:rFonts w:ascii="Calibri" w:hAnsi="Calibri" w:cs="Calibri"/>
                <w:sz w:val="24"/>
              </w:rPr>
            </w:pPr>
            <w:r>
              <w:rPr>
                <w:rFonts w:ascii="Calibri" w:hAnsi="Calibri" w:cs="Calibri"/>
                <w:sz w:val="24"/>
              </w:rPr>
              <w:t>工作交接（</w:t>
            </w:r>
            <w:r>
              <w:rPr>
                <w:rFonts w:hint="eastAsia" w:ascii="Calibri" w:hAnsi="Calibri" w:cs="Calibri"/>
                <w:sz w:val="24"/>
              </w:rPr>
              <w:t>□</w:t>
            </w:r>
            <w:r>
              <w:rPr>
                <w:rFonts w:ascii="Calibri" w:hAnsi="Calibri" w:cs="Calibri"/>
                <w:sz w:val="24"/>
              </w:rPr>
              <w:t xml:space="preserve">个人业务文档  </w:t>
            </w:r>
            <w:r>
              <w:rPr>
                <w:rFonts w:hint="eastAsia" w:ascii="Calibri" w:hAnsi="Calibri" w:cs="Calibri"/>
                <w:sz w:val="24"/>
              </w:rPr>
              <w:t>□</w:t>
            </w:r>
            <w:r>
              <w:rPr>
                <w:rFonts w:ascii="Calibri" w:hAnsi="Calibri" w:cs="Calibri"/>
                <w:sz w:val="24"/>
              </w:rPr>
              <w:t xml:space="preserve">相关文件  </w:t>
            </w:r>
            <w:r>
              <w:rPr>
                <w:rFonts w:hint="eastAsia" w:ascii="Calibri" w:hAnsi="Calibri" w:cs="Calibri"/>
                <w:sz w:val="24"/>
              </w:rPr>
              <w:t>□</w:t>
            </w:r>
            <w:r>
              <w:rPr>
                <w:rFonts w:ascii="Calibri" w:hAnsi="Calibri" w:cs="Calibri"/>
                <w:sz w:val="24"/>
              </w:rPr>
              <w:t>相关办公设备及用品</w:t>
            </w:r>
            <w:r>
              <w:rPr>
                <w:rFonts w:hint="eastAsia" w:ascii="Calibri" w:hAnsi="Calibri" w:cs="Calibri"/>
                <w:sz w:val="24"/>
              </w:rPr>
              <w:t>）</w:t>
            </w:r>
          </w:p>
          <w:p>
            <w:pPr>
              <w:rPr>
                <w:rFonts w:ascii="Calibri" w:hAnsi="Calibri" w:cs="Calibri"/>
                <w:sz w:val="24"/>
              </w:rPr>
            </w:pPr>
            <w:r>
              <w:rPr>
                <w:rFonts w:ascii="Calibri" w:hAnsi="Calibri" w:cs="Calibri"/>
                <w:sz w:val="24"/>
              </w:rPr>
              <w:t>（注：在办、已办、未办工作另</w:t>
            </w:r>
            <w:r>
              <w:rPr>
                <w:rFonts w:hint="eastAsia" w:ascii="Calibri" w:hAnsi="Calibri" w:cs="Calibri"/>
                <w:sz w:val="24"/>
              </w:rPr>
              <w:t>附</w:t>
            </w:r>
            <w:r>
              <w:rPr>
                <w:rFonts w:ascii="Calibri" w:hAnsi="Calibri" w:cs="Calibri"/>
                <w:sz w:val="24"/>
              </w:rPr>
              <w:t xml:space="preserve">表二） </w:t>
            </w:r>
          </w:p>
          <w:p>
            <w:pPr>
              <w:rPr>
                <w:rFonts w:ascii="Calibri" w:hAnsi="Calibri" w:cs="Calibri"/>
                <w:sz w:val="24"/>
              </w:rPr>
            </w:pPr>
            <w:r>
              <w:rPr>
                <w:rFonts w:hint="eastAsia" w:ascii="Calibri" w:hAnsi="Calibri" w:cs="Calibri"/>
                <w:sz w:val="24"/>
              </w:rPr>
              <w:t xml:space="preserve">承接人签字：                 </w:t>
            </w:r>
            <w:r>
              <w:rPr>
                <w:rFonts w:ascii="Calibri" w:hAnsi="Calibri" w:cs="Calibri"/>
                <w:sz w:val="24"/>
              </w:rPr>
              <w:t>日期：</w:t>
            </w:r>
          </w:p>
          <w:p>
            <w:pPr>
              <w:rPr>
                <w:rFonts w:ascii="Calibri" w:hAnsi="Calibri" w:cs="Calibri"/>
                <w:sz w:val="24"/>
              </w:rPr>
            </w:pPr>
            <w:r>
              <w:rPr>
                <w:rFonts w:ascii="Calibri" w:hAnsi="Calibri" w:cs="Calibri"/>
                <w:sz w:val="24"/>
              </w:rPr>
              <w:t xml:space="preserve">部门领导签字： </w:t>
            </w:r>
            <w:r>
              <w:rPr>
                <w:rFonts w:hint="eastAsia" w:ascii="Calibri" w:hAnsi="Calibri" w:cs="Calibri"/>
                <w:sz w:val="24"/>
              </w:rPr>
              <w:t xml:space="preserve">              </w:t>
            </w:r>
            <w:r>
              <w:rPr>
                <w:rFonts w:ascii="Calibri" w:hAnsi="Calibri" w:cs="Calibri"/>
                <w:sz w:val="24"/>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dxa"/>
            <w:vMerge w:val="restart"/>
            <w:shd w:val="clear" w:color="auto" w:fill="auto"/>
          </w:tcPr>
          <w:p>
            <w:pPr>
              <w:jc w:val="center"/>
              <w:rPr>
                <w:rFonts w:ascii="Calibri" w:hAnsi="Calibri" w:cs="Calibri"/>
                <w:sz w:val="24"/>
              </w:rPr>
            </w:pPr>
          </w:p>
          <w:p>
            <w:pPr>
              <w:jc w:val="center"/>
              <w:rPr>
                <w:rFonts w:ascii="Calibri" w:hAnsi="Calibri" w:cs="Calibri"/>
                <w:sz w:val="24"/>
              </w:rPr>
            </w:pPr>
          </w:p>
          <w:p>
            <w:pPr>
              <w:jc w:val="center"/>
              <w:rPr>
                <w:rFonts w:ascii="Calibri" w:hAnsi="Calibri" w:cs="Calibri"/>
                <w:sz w:val="24"/>
              </w:rPr>
            </w:pPr>
          </w:p>
          <w:p>
            <w:pPr>
              <w:jc w:val="center"/>
              <w:rPr>
                <w:rFonts w:ascii="Calibri" w:hAnsi="Calibri" w:cs="Calibri"/>
                <w:sz w:val="24"/>
              </w:rPr>
            </w:pPr>
            <w:r>
              <w:rPr>
                <w:rFonts w:ascii="Calibri" w:hAnsi="Calibri" w:cs="Calibri"/>
                <w:sz w:val="24"/>
              </w:rPr>
              <w:t>综</w:t>
            </w:r>
          </w:p>
          <w:p>
            <w:pPr>
              <w:jc w:val="center"/>
              <w:rPr>
                <w:rFonts w:ascii="Calibri" w:hAnsi="Calibri" w:cs="Calibri"/>
                <w:sz w:val="24"/>
              </w:rPr>
            </w:pPr>
            <w:r>
              <w:rPr>
                <w:rFonts w:ascii="Calibri" w:hAnsi="Calibri" w:cs="Calibri"/>
                <w:sz w:val="24"/>
              </w:rPr>
              <w:t>合</w:t>
            </w:r>
          </w:p>
          <w:p>
            <w:pPr>
              <w:jc w:val="center"/>
              <w:rPr>
                <w:rFonts w:ascii="Calibri" w:hAnsi="Calibri" w:cs="Calibri"/>
                <w:sz w:val="24"/>
              </w:rPr>
            </w:pPr>
            <w:r>
              <w:rPr>
                <w:rFonts w:ascii="Calibri" w:hAnsi="Calibri" w:cs="Calibri"/>
                <w:sz w:val="24"/>
              </w:rPr>
              <w:t>部</w:t>
            </w:r>
          </w:p>
        </w:tc>
        <w:tc>
          <w:tcPr>
            <w:tcW w:w="7576" w:type="dxa"/>
            <w:gridSpan w:val="4"/>
            <w:shd w:val="clear" w:color="auto" w:fill="auto"/>
          </w:tcPr>
          <w:p>
            <w:pPr>
              <w:pStyle w:val="17"/>
              <w:numPr>
                <w:ilvl w:val="0"/>
                <w:numId w:val="5"/>
              </w:numPr>
              <w:spacing w:before="156" w:beforeLines="50"/>
              <w:ind w:firstLine="0" w:firstLineChars="0"/>
              <w:rPr>
                <w:rFonts w:cs="Calibri"/>
                <w:sz w:val="24"/>
                <w:szCs w:val="24"/>
              </w:rPr>
            </w:pPr>
            <w:r>
              <w:rPr>
                <w:rFonts w:cs="Calibri"/>
                <w:sz w:val="24"/>
                <w:szCs w:val="24"/>
              </w:rPr>
              <w:t>普通用品（</w:t>
            </w:r>
            <w:r>
              <w:rPr>
                <w:rFonts w:hint="eastAsia" w:cs="Calibri"/>
                <w:sz w:val="24"/>
                <w:szCs w:val="24"/>
              </w:rPr>
              <w:t>□</w:t>
            </w:r>
            <w:r>
              <w:rPr>
                <w:rFonts w:cs="Calibri"/>
                <w:sz w:val="24"/>
                <w:szCs w:val="24"/>
              </w:rPr>
              <w:t xml:space="preserve">办公用品 </w:t>
            </w:r>
            <w:r>
              <w:rPr>
                <w:rFonts w:hint="eastAsia" w:cs="Calibri"/>
                <w:sz w:val="24"/>
                <w:szCs w:val="24"/>
              </w:rPr>
              <w:t>□</w:t>
            </w:r>
            <w:r>
              <w:rPr>
                <w:rFonts w:cs="Calibri"/>
                <w:sz w:val="24"/>
                <w:szCs w:val="24"/>
              </w:rPr>
              <w:t xml:space="preserve">门卡 </w:t>
            </w:r>
            <w:r>
              <w:rPr>
                <w:rFonts w:hint="eastAsia" w:cs="Calibri"/>
                <w:sz w:val="24"/>
                <w:szCs w:val="24"/>
              </w:rPr>
              <w:t>□</w:t>
            </w:r>
            <w:r>
              <w:rPr>
                <w:rFonts w:cs="Calibri"/>
                <w:sz w:val="24"/>
                <w:szCs w:val="24"/>
              </w:rPr>
              <w:t>其他：</w:t>
            </w:r>
            <w:r>
              <w:rPr>
                <w:rFonts w:hint="eastAsia" w:cs="Calibri"/>
                <w:sz w:val="24"/>
                <w:szCs w:val="24"/>
                <w:u w:val="single"/>
              </w:rPr>
              <w:t xml:space="preserve">          ）                 </w:t>
            </w:r>
            <w:r>
              <w:rPr>
                <w:rFonts w:hint="eastAsia" w:cs="Calibri"/>
                <w:sz w:val="24"/>
                <w:szCs w:val="24"/>
              </w:rPr>
              <w:t xml:space="preserve"> </w:t>
            </w:r>
          </w:p>
          <w:p>
            <w:pPr>
              <w:pStyle w:val="17"/>
              <w:numPr>
                <w:ilvl w:val="0"/>
                <w:numId w:val="5"/>
              </w:numPr>
              <w:spacing w:before="156" w:beforeLines="50"/>
              <w:ind w:firstLine="0" w:firstLineChars="0"/>
              <w:rPr>
                <w:rFonts w:cs="Calibri"/>
                <w:sz w:val="24"/>
                <w:szCs w:val="24"/>
              </w:rPr>
            </w:pPr>
            <w:r>
              <w:rPr>
                <w:rFonts w:cs="Calibri"/>
                <w:sz w:val="24"/>
                <w:szCs w:val="24"/>
              </w:rPr>
              <w:t>特殊物品：</w:t>
            </w:r>
            <w:r>
              <w:rPr>
                <w:rFonts w:hint="eastAsia" w:cs="Calibri"/>
                <w:sz w:val="24"/>
                <w:szCs w:val="24"/>
              </w:rPr>
              <w:t>（□</w:t>
            </w:r>
            <w:r>
              <w:rPr>
                <w:rFonts w:cs="Calibri"/>
                <w:sz w:val="24"/>
                <w:szCs w:val="24"/>
              </w:rPr>
              <w:t xml:space="preserve">电脑： </w:t>
            </w:r>
            <w:r>
              <w:rPr>
                <w:rFonts w:hint="eastAsia" w:cs="Calibri"/>
                <w:sz w:val="24"/>
                <w:szCs w:val="24"/>
              </w:rPr>
              <w:t>□</w:t>
            </w:r>
            <w:r>
              <w:rPr>
                <w:rFonts w:cs="Calibri"/>
                <w:sz w:val="24"/>
                <w:szCs w:val="24"/>
              </w:rPr>
              <w:t xml:space="preserve">U盘： </w:t>
            </w:r>
            <w:r>
              <w:rPr>
                <w:rFonts w:hint="eastAsia" w:cs="Calibri"/>
                <w:sz w:val="24"/>
                <w:szCs w:val="24"/>
              </w:rPr>
              <w:t>□</w:t>
            </w:r>
            <w:r>
              <w:rPr>
                <w:rFonts w:cs="Calibri"/>
                <w:sz w:val="24"/>
                <w:szCs w:val="24"/>
              </w:rPr>
              <w:t>其他：</w:t>
            </w:r>
            <w:r>
              <w:rPr>
                <w:rFonts w:hint="eastAsia" w:cs="Calibri"/>
                <w:sz w:val="24"/>
                <w:szCs w:val="24"/>
                <w:u w:val="single"/>
              </w:rPr>
              <w:t xml:space="preserve">         ）      </w:t>
            </w:r>
          </w:p>
          <w:p>
            <w:pPr>
              <w:spacing w:before="156" w:beforeLines="50"/>
              <w:rPr>
                <w:rFonts w:ascii="Calibri" w:hAnsi="Calibri" w:cs="Calibri"/>
                <w:sz w:val="24"/>
              </w:rPr>
            </w:pPr>
            <w:r>
              <w:rPr>
                <w:rFonts w:ascii="Calibri" w:hAnsi="Calibri" w:cs="Calibri"/>
                <w:sz w:val="24"/>
              </w:rPr>
              <w:t>经办人签字：</w:t>
            </w:r>
            <w:r>
              <w:rPr>
                <w:rFonts w:hint="eastAsia" w:ascii="Calibri" w:hAnsi="Calibri" w:cs="Calibri"/>
                <w:sz w:val="24"/>
              </w:rPr>
              <w:t xml:space="preserve">                 </w:t>
            </w:r>
            <w:r>
              <w:rPr>
                <w:rFonts w:ascii="Calibri" w:hAnsi="Calibri" w:cs="Calibri"/>
                <w:sz w:val="24"/>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dxa"/>
            <w:vMerge w:val="continue"/>
            <w:shd w:val="clear" w:color="auto" w:fill="auto"/>
          </w:tcPr>
          <w:p>
            <w:pPr>
              <w:jc w:val="center"/>
              <w:rPr>
                <w:rFonts w:ascii="Calibri" w:hAnsi="Calibri" w:cs="Calibri"/>
                <w:sz w:val="24"/>
              </w:rPr>
            </w:pPr>
          </w:p>
        </w:tc>
        <w:tc>
          <w:tcPr>
            <w:tcW w:w="7576" w:type="dxa"/>
            <w:gridSpan w:val="4"/>
            <w:shd w:val="clear" w:color="auto" w:fill="auto"/>
          </w:tcPr>
          <w:p>
            <w:pPr>
              <w:pStyle w:val="17"/>
              <w:spacing w:before="156" w:beforeLines="50"/>
              <w:ind w:firstLine="0" w:firstLineChars="0"/>
              <w:rPr>
                <w:rFonts w:cs="Calibri"/>
                <w:sz w:val="24"/>
                <w:szCs w:val="24"/>
              </w:rPr>
            </w:pPr>
            <w:r>
              <w:rPr>
                <w:rFonts w:hint="eastAsia" w:cs="Calibri"/>
                <w:sz w:val="24"/>
                <w:szCs w:val="24"/>
              </w:rPr>
              <w:t>□</w:t>
            </w:r>
            <w:r>
              <w:rPr>
                <w:rFonts w:cs="Calibri"/>
                <w:sz w:val="24"/>
                <w:szCs w:val="24"/>
              </w:rPr>
              <w:t>计算机设备使用交回</w:t>
            </w:r>
            <w:r>
              <w:rPr>
                <w:rFonts w:hint="eastAsia" w:cs="Calibri"/>
                <w:sz w:val="24"/>
                <w:szCs w:val="24"/>
              </w:rPr>
              <w:t xml:space="preserve">          □</w:t>
            </w:r>
            <w:r>
              <w:rPr>
                <w:rFonts w:cs="Calibri"/>
                <w:sz w:val="24"/>
                <w:szCs w:val="24"/>
              </w:rPr>
              <w:t>密码</w:t>
            </w:r>
            <w:r>
              <w:rPr>
                <w:rFonts w:hint="eastAsia" w:cs="Calibri"/>
                <w:sz w:val="24"/>
                <w:szCs w:val="24"/>
              </w:rPr>
              <w:t>清除</w:t>
            </w:r>
          </w:p>
          <w:p>
            <w:pPr>
              <w:pStyle w:val="17"/>
              <w:spacing w:before="156" w:beforeLines="50"/>
              <w:ind w:firstLine="0" w:firstLineChars="0"/>
              <w:rPr>
                <w:rFonts w:cs="Calibri"/>
                <w:sz w:val="24"/>
                <w:szCs w:val="24"/>
              </w:rPr>
            </w:pPr>
            <w:r>
              <w:rPr>
                <w:rFonts w:hint="eastAsia" w:cs="Calibri"/>
                <w:sz w:val="24"/>
                <w:szCs w:val="24"/>
              </w:rPr>
              <w:t>□</w:t>
            </w:r>
            <w:r>
              <w:rPr>
                <w:rFonts w:cs="Calibri"/>
                <w:sz w:val="24"/>
                <w:szCs w:val="24"/>
              </w:rPr>
              <w:t>账号</w:t>
            </w:r>
            <w:r>
              <w:rPr>
                <w:rFonts w:hint="eastAsia" w:cs="Calibri"/>
                <w:sz w:val="24"/>
                <w:szCs w:val="24"/>
              </w:rPr>
              <w:t>清除                    □</w:t>
            </w:r>
            <w:r>
              <w:rPr>
                <w:rFonts w:cs="Calibri"/>
                <w:sz w:val="24"/>
                <w:szCs w:val="24"/>
              </w:rPr>
              <w:t>网络管理情况</w:t>
            </w:r>
          </w:p>
          <w:p>
            <w:pPr>
              <w:pStyle w:val="17"/>
              <w:spacing w:before="156" w:beforeLines="50"/>
              <w:ind w:firstLine="0" w:firstLineChars="0"/>
              <w:rPr>
                <w:rFonts w:cs="Calibri"/>
                <w:sz w:val="24"/>
                <w:szCs w:val="24"/>
              </w:rPr>
            </w:pPr>
            <w:r>
              <w:rPr>
                <w:rFonts w:cs="Calibri"/>
                <w:sz w:val="24"/>
                <w:szCs w:val="24"/>
              </w:rPr>
              <w:t>经办人签字：</w:t>
            </w:r>
            <w:r>
              <w:rPr>
                <w:rFonts w:hint="eastAsia" w:cs="Calibri"/>
                <w:sz w:val="24"/>
                <w:szCs w:val="24"/>
              </w:rPr>
              <w:t xml:space="preserve">                 </w:t>
            </w:r>
            <w:r>
              <w:rPr>
                <w:rFonts w:cs="Calibri"/>
                <w:sz w:val="24"/>
                <w:szCs w:val="24"/>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dxa"/>
            <w:vMerge w:val="continue"/>
            <w:shd w:val="clear" w:color="auto" w:fill="auto"/>
          </w:tcPr>
          <w:p>
            <w:pPr>
              <w:jc w:val="center"/>
              <w:rPr>
                <w:rFonts w:ascii="Calibri" w:hAnsi="Calibri" w:cs="Calibri"/>
                <w:sz w:val="24"/>
              </w:rPr>
            </w:pPr>
          </w:p>
        </w:tc>
        <w:tc>
          <w:tcPr>
            <w:tcW w:w="7576" w:type="dxa"/>
            <w:gridSpan w:val="4"/>
            <w:shd w:val="clear" w:color="auto" w:fill="auto"/>
          </w:tcPr>
          <w:p>
            <w:pPr>
              <w:pStyle w:val="17"/>
              <w:spacing w:before="156" w:beforeLines="50"/>
              <w:ind w:firstLine="0" w:firstLineChars="0"/>
              <w:rPr>
                <w:rFonts w:cs="Calibri"/>
                <w:sz w:val="24"/>
                <w:szCs w:val="24"/>
              </w:rPr>
            </w:pPr>
            <w:r>
              <w:rPr>
                <w:rFonts w:cs="Calibri"/>
                <w:sz w:val="24"/>
                <w:szCs w:val="24"/>
              </w:rPr>
              <w:t xml:space="preserve">个人保险：保险上到： </w:t>
            </w:r>
            <w:r>
              <w:rPr>
                <w:rFonts w:hint="eastAsia" w:cs="Calibri"/>
                <w:sz w:val="24"/>
                <w:szCs w:val="24"/>
              </w:rPr>
              <w:t xml:space="preserve">   </w:t>
            </w:r>
            <w:r>
              <w:rPr>
                <w:rFonts w:cs="Calibri"/>
                <w:sz w:val="24"/>
                <w:szCs w:val="24"/>
              </w:rPr>
              <w:t>年</w:t>
            </w:r>
            <w:r>
              <w:rPr>
                <w:rFonts w:hint="eastAsia" w:cs="Calibri"/>
                <w:sz w:val="24"/>
                <w:szCs w:val="24"/>
              </w:rPr>
              <w:t xml:space="preserve">    </w:t>
            </w:r>
            <w:r>
              <w:rPr>
                <w:rFonts w:cs="Calibri"/>
                <w:sz w:val="24"/>
                <w:szCs w:val="24"/>
              </w:rPr>
              <w:t xml:space="preserve">月  </w:t>
            </w:r>
          </w:p>
          <w:p>
            <w:pPr>
              <w:pStyle w:val="17"/>
              <w:spacing w:before="156" w:beforeLines="50"/>
              <w:ind w:firstLine="0" w:firstLineChars="0"/>
              <w:rPr>
                <w:rFonts w:cs="Calibri"/>
                <w:sz w:val="24"/>
                <w:szCs w:val="24"/>
              </w:rPr>
            </w:pPr>
            <w:r>
              <w:rPr>
                <w:rFonts w:cs="Calibri"/>
                <w:sz w:val="24"/>
                <w:szCs w:val="24"/>
              </w:rPr>
              <w:t>经办人签字：</w:t>
            </w:r>
            <w:r>
              <w:rPr>
                <w:rFonts w:hint="eastAsia" w:cs="Calibri"/>
                <w:sz w:val="24"/>
                <w:szCs w:val="24"/>
              </w:rPr>
              <w:t xml:space="preserve">                 </w:t>
            </w:r>
            <w:r>
              <w:rPr>
                <w:rFonts w:cs="Calibri"/>
                <w:sz w:val="24"/>
                <w:szCs w:val="24"/>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dxa"/>
            <w:shd w:val="clear" w:color="auto" w:fill="auto"/>
          </w:tcPr>
          <w:p>
            <w:pPr>
              <w:jc w:val="center"/>
              <w:rPr>
                <w:rFonts w:ascii="Calibri" w:hAnsi="Calibri" w:cs="Calibri"/>
                <w:sz w:val="24"/>
              </w:rPr>
            </w:pPr>
          </w:p>
          <w:p>
            <w:pPr>
              <w:jc w:val="center"/>
              <w:rPr>
                <w:rFonts w:ascii="Calibri" w:hAnsi="Calibri" w:cs="Calibri"/>
                <w:sz w:val="24"/>
              </w:rPr>
            </w:pPr>
            <w:r>
              <w:rPr>
                <w:rFonts w:ascii="Calibri" w:hAnsi="Calibri" w:cs="Calibri"/>
                <w:sz w:val="24"/>
              </w:rPr>
              <w:t>财</w:t>
            </w:r>
          </w:p>
          <w:p>
            <w:pPr>
              <w:jc w:val="center"/>
              <w:rPr>
                <w:rFonts w:ascii="Calibri" w:hAnsi="Calibri" w:cs="Calibri"/>
                <w:sz w:val="24"/>
              </w:rPr>
            </w:pPr>
            <w:r>
              <w:rPr>
                <w:rFonts w:ascii="Calibri" w:hAnsi="Calibri" w:cs="Calibri"/>
                <w:sz w:val="24"/>
              </w:rPr>
              <w:t>务</w:t>
            </w:r>
          </w:p>
          <w:p>
            <w:pPr>
              <w:jc w:val="center"/>
              <w:rPr>
                <w:rFonts w:ascii="Calibri" w:hAnsi="Calibri" w:cs="Calibri"/>
                <w:sz w:val="24"/>
              </w:rPr>
            </w:pPr>
            <w:r>
              <w:rPr>
                <w:rFonts w:ascii="Calibri" w:hAnsi="Calibri" w:cs="Calibri"/>
                <w:sz w:val="24"/>
              </w:rPr>
              <w:t>部</w:t>
            </w:r>
          </w:p>
        </w:tc>
        <w:tc>
          <w:tcPr>
            <w:tcW w:w="7576" w:type="dxa"/>
            <w:gridSpan w:val="4"/>
            <w:shd w:val="clear" w:color="auto" w:fill="auto"/>
          </w:tcPr>
          <w:p>
            <w:pPr>
              <w:pStyle w:val="17"/>
              <w:numPr>
                <w:ilvl w:val="0"/>
                <w:numId w:val="6"/>
              </w:numPr>
              <w:spacing w:before="156" w:beforeLines="50"/>
              <w:ind w:firstLine="0" w:firstLineChars="0"/>
              <w:rPr>
                <w:rFonts w:cs="Calibri"/>
                <w:sz w:val="24"/>
                <w:szCs w:val="24"/>
              </w:rPr>
            </w:pPr>
            <w:r>
              <w:rPr>
                <w:rFonts w:cs="Calibri"/>
                <w:sz w:val="24"/>
                <w:szCs w:val="24"/>
              </w:rPr>
              <w:t>借款（</w:t>
            </w:r>
            <w:r>
              <w:rPr>
                <w:rFonts w:hint="eastAsia" w:cs="Calibri"/>
                <w:sz w:val="24"/>
                <w:szCs w:val="24"/>
              </w:rPr>
              <w:t>□</w:t>
            </w:r>
            <w:r>
              <w:rPr>
                <w:rFonts w:cs="Calibri"/>
                <w:sz w:val="24"/>
                <w:szCs w:val="24"/>
              </w:rPr>
              <w:t xml:space="preserve">经办支票 </w:t>
            </w:r>
            <w:r>
              <w:rPr>
                <w:rFonts w:hint="eastAsia" w:cs="Calibri"/>
                <w:sz w:val="24"/>
                <w:szCs w:val="24"/>
              </w:rPr>
              <w:t>□</w:t>
            </w:r>
            <w:r>
              <w:rPr>
                <w:rFonts w:cs="Calibri"/>
                <w:sz w:val="24"/>
                <w:szCs w:val="24"/>
              </w:rPr>
              <w:t xml:space="preserve">汇款 </w:t>
            </w:r>
            <w:r>
              <w:rPr>
                <w:rFonts w:hint="eastAsia" w:cs="Calibri"/>
                <w:sz w:val="24"/>
                <w:szCs w:val="24"/>
              </w:rPr>
              <w:t>□</w:t>
            </w:r>
            <w:r>
              <w:rPr>
                <w:rFonts w:cs="Calibri"/>
                <w:sz w:val="24"/>
                <w:szCs w:val="24"/>
              </w:rPr>
              <w:t xml:space="preserve">现金 </w:t>
            </w:r>
            <w:r>
              <w:rPr>
                <w:rFonts w:hint="eastAsia" w:cs="Calibri"/>
                <w:sz w:val="24"/>
                <w:szCs w:val="24"/>
              </w:rPr>
              <w:t>□</w:t>
            </w:r>
            <w:r>
              <w:rPr>
                <w:rFonts w:cs="Calibri"/>
                <w:sz w:val="24"/>
                <w:szCs w:val="24"/>
              </w:rPr>
              <w:t xml:space="preserve">无相关借款 </w:t>
            </w:r>
          </w:p>
          <w:p>
            <w:pPr>
              <w:pStyle w:val="17"/>
              <w:numPr>
                <w:ilvl w:val="0"/>
                <w:numId w:val="6"/>
              </w:numPr>
              <w:spacing w:before="156" w:beforeLines="50"/>
              <w:ind w:firstLine="0" w:firstLineChars="0"/>
              <w:rPr>
                <w:rFonts w:cs="Calibri"/>
                <w:sz w:val="24"/>
                <w:szCs w:val="24"/>
              </w:rPr>
            </w:pPr>
            <w:r>
              <w:rPr>
                <w:rFonts w:cs="Calibri"/>
                <w:sz w:val="24"/>
                <w:szCs w:val="24"/>
              </w:rPr>
              <w:t>其他（</w:t>
            </w:r>
            <w:r>
              <w:rPr>
                <w:rFonts w:hint="eastAsia" w:cs="Calibri"/>
                <w:sz w:val="24"/>
                <w:szCs w:val="24"/>
              </w:rPr>
              <w:t>□</w:t>
            </w:r>
            <w:r>
              <w:rPr>
                <w:rFonts w:cs="Calibri"/>
                <w:sz w:val="24"/>
                <w:szCs w:val="24"/>
              </w:rPr>
              <w:t xml:space="preserve">应清算款项 </w:t>
            </w:r>
            <w:r>
              <w:rPr>
                <w:rFonts w:hint="eastAsia" w:cs="Calibri"/>
                <w:sz w:val="24"/>
                <w:szCs w:val="24"/>
              </w:rPr>
              <w:t>□</w:t>
            </w:r>
            <w:r>
              <w:rPr>
                <w:rFonts w:cs="Calibri"/>
                <w:sz w:val="24"/>
                <w:szCs w:val="24"/>
              </w:rPr>
              <w:t>无）</w:t>
            </w:r>
          </w:p>
          <w:p>
            <w:pPr>
              <w:pStyle w:val="17"/>
              <w:numPr>
                <w:ilvl w:val="0"/>
                <w:numId w:val="6"/>
              </w:numPr>
              <w:spacing w:before="156" w:beforeLines="50"/>
              <w:ind w:firstLine="0" w:firstLineChars="0"/>
              <w:rPr>
                <w:rFonts w:cs="Calibri"/>
                <w:sz w:val="24"/>
                <w:szCs w:val="24"/>
              </w:rPr>
            </w:pPr>
            <w:r>
              <w:rPr>
                <w:rFonts w:cs="Calibri"/>
                <w:sz w:val="24"/>
                <w:szCs w:val="24"/>
              </w:rPr>
              <w:t>工资截止日期：</w:t>
            </w:r>
            <w:r>
              <w:rPr>
                <w:rFonts w:cs="Calibri"/>
                <w:sz w:val="24"/>
                <w:szCs w:val="24"/>
                <w:u w:val="single"/>
              </w:rPr>
              <w:t xml:space="preserve"> </w:t>
            </w:r>
            <w:r>
              <w:rPr>
                <w:rFonts w:hint="eastAsia" w:cs="Calibri"/>
                <w:sz w:val="24"/>
                <w:szCs w:val="24"/>
                <w:u w:val="single"/>
              </w:rPr>
              <w:t xml:space="preserve">   </w:t>
            </w:r>
            <w:r>
              <w:rPr>
                <w:rFonts w:cs="Calibri"/>
                <w:sz w:val="24"/>
                <w:szCs w:val="24"/>
                <w:u w:val="single"/>
              </w:rPr>
              <w:t xml:space="preserve"> </w:t>
            </w:r>
            <w:r>
              <w:rPr>
                <w:rFonts w:cs="Calibri"/>
                <w:sz w:val="24"/>
                <w:szCs w:val="24"/>
              </w:rPr>
              <w:t>年</w:t>
            </w:r>
            <w:r>
              <w:rPr>
                <w:rFonts w:cs="Calibri"/>
                <w:sz w:val="24"/>
                <w:szCs w:val="24"/>
                <w:u w:val="single"/>
              </w:rPr>
              <w:t xml:space="preserve">  </w:t>
            </w:r>
            <w:r>
              <w:rPr>
                <w:rFonts w:hint="eastAsia" w:cs="Calibri"/>
                <w:sz w:val="24"/>
                <w:szCs w:val="24"/>
                <w:u w:val="single"/>
              </w:rPr>
              <w:t xml:space="preserve">  </w:t>
            </w:r>
            <w:r>
              <w:rPr>
                <w:rFonts w:cs="Calibri"/>
                <w:sz w:val="24"/>
                <w:szCs w:val="24"/>
              </w:rPr>
              <w:t>月</w:t>
            </w:r>
            <w:r>
              <w:rPr>
                <w:rFonts w:hint="eastAsia" w:cs="Calibri"/>
                <w:sz w:val="24"/>
                <w:szCs w:val="24"/>
                <w:u w:val="single"/>
              </w:rPr>
              <w:t xml:space="preserve">   </w:t>
            </w:r>
            <w:r>
              <w:rPr>
                <w:rFonts w:cs="Calibri"/>
                <w:sz w:val="24"/>
                <w:szCs w:val="24"/>
                <w:u w:val="single"/>
              </w:rPr>
              <w:t xml:space="preserve"> </w:t>
            </w:r>
            <w:r>
              <w:rPr>
                <w:rFonts w:cs="Calibri"/>
                <w:sz w:val="24"/>
                <w:szCs w:val="24"/>
              </w:rPr>
              <w:t>日</w:t>
            </w:r>
          </w:p>
          <w:p>
            <w:pPr>
              <w:spacing w:before="156" w:beforeLines="50"/>
              <w:rPr>
                <w:rFonts w:ascii="Calibri" w:hAnsi="Calibri" w:cs="Calibri"/>
                <w:sz w:val="24"/>
              </w:rPr>
            </w:pPr>
            <w:r>
              <w:rPr>
                <w:rFonts w:ascii="Calibri" w:hAnsi="Calibri" w:cs="Calibri"/>
                <w:sz w:val="24"/>
              </w:rPr>
              <w:t>经办人签字：</w:t>
            </w:r>
            <w:r>
              <w:rPr>
                <w:rFonts w:hint="eastAsia" w:ascii="Calibri" w:hAnsi="Calibri" w:cs="Calibri"/>
                <w:sz w:val="24"/>
              </w:rPr>
              <w:t xml:space="preserve">                   </w:t>
            </w:r>
            <w:r>
              <w:rPr>
                <w:rFonts w:ascii="Calibri" w:hAnsi="Calibri" w:cs="Calibri"/>
                <w:sz w:val="24"/>
              </w:rPr>
              <w:t xml:space="preserve">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dxa"/>
            <w:shd w:val="clear" w:color="auto" w:fill="auto"/>
          </w:tcPr>
          <w:p>
            <w:pPr>
              <w:rPr>
                <w:rFonts w:ascii="Calibri" w:hAnsi="Calibri" w:cs="Calibri"/>
                <w:sz w:val="24"/>
              </w:rPr>
            </w:pPr>
            <w:r>
              <w:rPr>
                <w:rFonts w:hint="eastAsia" w:ascii="Calibri" w:hAnsi="Calibri" w:cs="Calibri"/>
                <w:sz w:val="24"/>
              </w:rPr>
              <w:t>基金会领导</w:t>
            </w:r>
          </w:p>
        </w:tc>
        <w:tc>
          <w:tcPr>
            <w:tcW w:w="7576" w:type="dxa"/>
            <w:gridSpan w:val="4"/>
            <w:shd w:val="clear" w:color="auto" w:fill="auto"/>
          </w:tcPr>
          <w:p>
            <w:pPr>
              <w:rPr>
                <w:rFonts w:cs="Calibri"/>
                <w:sz w:val="24"/>
                <w:szCs w:val="24"/>
              </w:rPr>
            </w:pPr>
          </w:p>
          <w:p>
            <w:pPr>
              <w:pStyle w:val="17"/>
              <w:ind w:firstLine="0" w:firstLineChars="0"/>
              <w:rPr>
                <w:rFonts w:cs="Calibri"/>
                <w:sz w:val="24"/>
                <w:szCs w:val="24"/>
              </w:rPr>
            </w:pPr>
          </w:p>
        </w:tc>
      </w:tr>
    </w:tbl>
    <w:p>
      <w:pPr>
        <w:rPr>
          <w:szCs w:val="21"/>
        </w:rPr>
      </w:pPr>
      <w:r>
        <w:rPr>
          <w:rFonts w:hint="eastAsia"/>
          <w:szCs w:val="21"/>
        </w:rPr>
        <w:t>注：1.严格遵守本人与基金会签订的《保密合同》；</w:t>
      </w:r>
    </w:p>
    <w:p>
      <w:pPr>
        <w:ind w:firstLine="525" w:firstLineChars="250"/>
        <w:rPr>
          <w:szCs w:val="21"/>
        </w:rPr>
      </w:pPr>
      <w:r>
        <w:rPr>
          <w:rFonts w:hint="eastAsia"/>
          <w:szCs w:val="21"/>
        </w:rPr>
        <w:t>2.该原件交由基金会综合部存档。上列事项未交接完毕或主管领导未批准离职申请的，财务部不予办理财务交接手续；离职员工有违法行为的，基金会保留追究其法律责任的权利。</w:t>
      </w:r>
    </w:p>
    <w:p>
      <w:pPr>
        <w:ind w:left="1260" w:leftChars="600"/>
        <w:rPr>
          <w:szCs w:val="21"/>
        </w:rPr>
      </w:pPr>
    </w:p>
    <w:p>
      <w:pPr>
        <w:rPr>
          <w:szCs w:val="21"/>
        </w:rPr>
      </w:pPr>
      <w:r>
        <w:rPr>
          <w:rFonts w:hint="eastAsia"/>
          <w:szCs w:val="21"/>
        </w:rPr>
        <w:t>当事人签字：</w:t>
      </w:r>
      <w:r>
        <w:rPr>
          <w:rFonts w:hint="eastAsia"/>
          <w:szCs w:val="21"/>
          <w:u w:val="single"/>
        </w:rPr>
        <w:t xml:space="preserve">                           </w:t>
      </w:r>
      <w:r>
        <w:rPr>
          <w:rFonts w:hint="eastAsia"/>
          <w:szCs w:val="21"/>
        </w:rPr>
        <w:t xml:space="preserve">    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pPr>
        <w:rPr>
          <w:szCs w:val="21"/>
        </w:rPr>
      </w:pPr>
    </w:p>
    <w:p>
      <w:pPr>
        <w:rPr>
          <w:szCs w:val="21"/>
        </w:rPr>
      </w:pPr>
    </w:p>
    <w:p>
      <w:pPr>
        <w:rPr>
          <w:szCs w:val="21"/>
        </w:rPr>
      </w:pPr>
    </w:p>
    <w:p>
      <w:pPr>
        <w:spacing w:line="360" w:lineRule="auto"/>
        <w:outlineLvl w:val="1"/>
        <w:rPr>
          <w:rFonts w:asciiTheme="minorEastAsia" w:hAnsiTheme="minorEastAsia"/>
          <w:sz w:val="24"/>
          <w:szCs w:val="24"/>
        </w:rPr>
      </w:pPr>
      <w:bookmarkStart w:id="115" w:name="_Toc403829231"/>
      <w:bookmarkStart w:id="116" w:name="_Toc2362"/>
      <w:r>
        <w:rPr>
          <w:rFonts w:hint="eastAsia" w:asciiTheme="minorEastAsia" w:hAnsiTheme="minorEastAsia"/>
          <w:sz w:val="24"/>
          <w:szCs w:val="24"/>
        </w:rPr>
        <w:t>附件17-7：《员工离/辞职交接工作明细》</w:t>
      </w:r>
      <w:bookmarkEnd w:id="115"/>
      <w:bookmarkEnd w:id="116"/>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基金会员工离/辞职交接工作明细</w:t>
      </w:r>
    </w:p>
    <w:p>
      <w:pPr>
        <w:spacing w:line="360" w:lineRule="auto"/>
        <w:jc w:val="right"/>
        <w:rPr>
          <w:sz w:val="28"/>
          <w:szCs w:val="28"/>
        </w:rPr>
      </w:pPr>
      <w:r>
        <w:rPr>
          <w:rFonts w:hint="eastAsia"/>
          <w:sz w:val="28"/>
          <w:szCs w:val="28"/>
        </w:rPr>
        <w:t>年     月     日</w:t>
      </w:r>
    </w:p>
    <w:tbl>
      <w:tblPr>
        <w:tblStyle w:val="9"/>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455"/>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2" w:type="dxa"/>
            <w:gridSpan w:val="2"/>
            <w:shd w:val="clear" w:color="auto" w:fill="auto"/>
          </w:tcPr>
          <w:p>
            <w:pPr>
              <w:jc w:val="center"/>
              <w:rPr>
                <w:rFonts w:ascii="Calibri" w:hAnsi="Calibri"/>
                <w:sz w:val="24"/>
                <w:szCs w:val="24"/>
              </w:rPr>
            </w:pPr>
            <w:r>
              <w:rPr>
                <w:rFonts w:hint="eastAsia" w:ascii="Calibri" w:hAnsi="Calibri"/>
                <w:sz w:val="24"/>
                <w:szCs w:val="24"/>
              </w:rPr>
              <w:t>姓名</w:t>
            </w:r>
          </w:p>
        </w:tc>
        <w:tc>
          <w:tcPr>
            <w:tcW w:w="2130" w:type="dxa"/>
            <w:shd w:val="clear" w:color="auto" w:fill="auto"/>
          </w:tcPr>
          <w:p>
            <w:pPr>
              <w:jc w:val="center"/>
              <w:rPr>
                <w:rFonts w:ascii="Calibri" w:hAnsi="Calibri"/>
                <w:sz w:val="24"/>
                <w:szCs w:val="24"/>
              </w:rPr>
            </w:pPr>
            <w:r>
              <w:rPr>
                <w:rFonts w:hint="eastAsia" w:ascii="Calibri" w:hAnsi="Calibri"/>
                <w:sz w:val="24"/>
                <w:szCs w:val="24"/>
              </w:rPr>
              <w:t>部门</w:t>
            </w:r>
          </w:p>
        </w:tc>
        <w:tc>
          <w:tcPr>
            <w:tcW w:w="2131" w:type="dxa"/>
            <w:shd w:val="clear" w:color="auto" w:fill="auto"/>
          </w:tcPr>
          <w:p>
            <w:pPr>
              <w:jc w:val="center"/>
              <w:rPr>
                <w:rFonts w:ascii="Calibri" w:hAnsi="Calibri"/>
                <w:sz w:val="24"/>
                <w:szCs w:val="24"/>
              </w:rPr>
            </w:pPr>
            <w:r>
              <w:rPr>
                <w:rFonts w:hint="eastAsia" w:ascii="Calibri" w:hAnsi="Calibri"/>
                <w:sz w:val="24"/>
                <w:szCs w:val="24"/>
              </w:rPr>
              <w:t>职务</w:t>
            </w:r>
          </w:p>
        </w:tc>
        <w:tc>
          <w:tcPr>
            <w:tcW w:w="2131" w:type="dxa"/>
            <w:shd w:val="clear" w:color="auto" w:fill="auto"/>
          </w:tcPr>
          <w:p>
            <w:pPr>
              <w:jc w:val="center"/>
              <w:rPr>
                <w:rFonts w:ascii="Calibri" w:hAnsi="Calibri"/>
                <w:sz w:val="24"/>
                <w:szCs w:val="24"/>
              </w:rPr>
            </w:pPr>
            <w:r>
              <w:rPr>
                <w:rFonts w:hint="eastAsia" w:ascii="Calibri" w:hAnsi="Calibri"/>
                <w:sz w:val="24"/>
                <w:szCs w:val="24"/>
              </w:rPr>
              <w:t>工作起止日期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2" w:type="dxa"/>
            <w:gridSpan w:val="2"/>
            <w:shd w:val="clear" w:color="auto" w:fill="auto"/>
          </w:tcPr>
          <w:p>
            <w:pPr>
              <w:jc w:val="center"/>
              <w:rPr>
                <w:rFonts w:ascii="Calibri" w:hAnsi="Calibri"/>
                <w:sz w:val="24"/>
                <w:szCs w:val="24"/>
              </w:rPr>
            </w:pPr>
          </w:p>
        </w:tc>
        <w:tc>
          <w:tcPr>
            <w:tcW w:w="2130" w:type="dxa"/>
            <w:shd w:val="clear" w:color="auto" w:fill="auto"/>
          </w:tcPr>
          <w:p>
            <w:pPr>
              <w:jc w:val="center"/>
              <w:rPr>
                <w:rFonts w:ascii="Calibri" w:hAnsi="Calibri"/>
                <w:sz w:val="24"/>
                <w:szCs w:val="24"/>
              </w:rPr>
            </w:pPr>
          </w:p>
        </w:tc>
        <w:tc>
          <w:tcPr>
            <w:tcW w:w="2131" w:type="dxa"/>
            <w:shd w:val="clear" w:color="auto" w:fill="auto"/>
          </w:tcPr>
          <w:p>
            <w:pPr>
              <w:jc w:val="center"/>
              <w:rPr>
                <w:rFonts w:ascii="Calibri" w:hAnsi="Calibri"/>
                <w:sz w:val="24"/>
                <w:szCs w:val="24"/>
              </w:rPr>
            </w:pPr>
          </w:p>
        </w:tc>
        <w:tc>
          <w:tcPr>
            <w:tcW w:w="2131" w:type="dxa"/>
            <w:shd w:val="clear" w:color="auto" w:fill="auto"/>
          </w:tcPr>
          <w:p>
            <w:pPr>
              <w:jc w:val="center"/>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4" w:type="dxa"/>
            <w:gridSpan w:val="5"/>
            <w:shd w:val="clear" w:color="auto" w:fill="auto"/>
          </w:tcPr>
          <w:p>
            <w:pPr>
              <w:jc w:val="center"/>
              <w:rPr>
                <w:rFonts w:ascii="Calibri" w:hAnsi="Calibri"/>
                <w:sz w:val="24"/>
                <w:szCs w:val="24"/>
              </w:rPr>
            </w:pPr>
            <w:r>
              <w:rPr>
                <w:rFonts w:hint="eastAsia" w:ascii="Calibri" w:hAnsi="Calibri"/>
                <w:sz w:val="24"/>
                <w:szCs w:val="24"/>
              </w:rPr>
              <w:t>工作交接内容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restart"/>
            <w:shd w:val="clear" w:color="auto" w:fill="auto"/>
          </w:tcPr>
          <w:p>
            <w:pPr>
              <w:rPr>
                <w:rFonts w:ascii="Calibri" w:hAnsi="Calibri"/>
                <w:sz w:val="24"/>
                <w:szCs w:val="24"/>
              </w:rPr>
            </w:pPr>
            <w:r>
              <w:rPr>
                <w:rFonts w:hint="eastAsia" w:ascii="Calibri" w:hAnsi="Calibri"/>
                <w:sz w:val="24"/>
                <w:szCs w:val="24"/>
              </w:rPr>
              <w:t>部</w:t>
            </w:r>
          </w:p>
          <w:p>
            <w:pPr>
              <w:rPr>
                <w:rFonts w:ascii="Calibri" w:hAnsi="Calibri"/>
                <w:sz w:val="24"/>
                <w:szCs w:val="24"/>
              </w:rPr>
            </w:pPr>
            <w:r>
              <w:rPr>
                <w:rFonts w:hint="eastAsia" w:ascii="Calibri" w:hAnsi="Calibri"/>
                <w:sz w:val="24"/>
                <w:szCs w:val="24"/>
              </w:rPr>
              <w:t>门</w:t>
            </w:r>
          </w:p>
          <w:p>
            <w:pPr>
              <w:rPr>
                <w:rFonts w:ascii="Calibri" w:hAnsi="Calibri"/>
                <w:sz w:val="24"/>
                <w:szCs w:val="24"/>
              </w:rPr>
            </w:pPr>
            <w:r>
              <w:rPr>
                <w:rFonts w:hint="eastAsia" w:ascii="Calibri" w:hAnsi="Calibri"/>
                <w:sz w:val="24"/>
                <w:szCs w:val="24"/>
              </w:rPr>
              <w:t>相</w:t>
            </w:r>
          </w:p>
          <w:p>
            <w:pPr>
              <w:rPr>
                <w:rFonts w:ascii="Calibri" w:hAnsi="Calibri"/>
                <w:sz w:val="24"/>
                <w:szCs w:val="24"/>
              </w:rPr>
            </w:pPr>
            <w:r>
              <w:rPr>
                <w:rFonts w:hint="eastAsia" w:ascii="Calibri" w:hAnsi="Calibri"/>
                <w:sz w:val="24"/>
                <w:szCs w:val="24"/>
              </w:rPr>
              <w:t>关</w:t>
            </w:r>
          </w:p>
          <w:p>
            <w:pPr>
              <w:rPr>
                <w:rFonts w:ascii="Calibri" w:hAnsi="Calibri"/>
                <w:sz w:val="24"/>
                <w:szCs w:val="24"/>
              </w:rPr>
            </w:pPr>
            <w:r>
              <w:rPr>
                <w:rFonts w:hint="eastAsia" w:ascii="Calibri" w:hAnsi="Calibri"/>
                <w:sz w:val="24"/>
                <w:szCs w:val="24"/>
              </w:rPr>
              <w:t>文</w:t>
            </w:r>
          </w:p>
          <w:p>
            <w:pPr>
              <w:rPr>
                <w:rFonts w:ascii="Calibri" w:hAnsi="Calibri"/>
                <w:sz w:val="24"/>
                <w:szCs w:val="24"/>
              </w:rPr>
            </w:pPr>
            <w:r>
              <w:rPr>
                <w:rFonts w:hint="eastAsia" w:ascii="Calibri" w:hAnsi="Calibri"/>
                <w:sz w:val="24"/>
                <w:szCs w:val="24"/>
              </w:rPr>
              <w:t>件</w:t>
            </w:r>
          </w:p>
        </w:tc>
        <w:tc>
          <w:tcPr>
            <w:tcW w:w="7847" w:type="dxa"/>
            <w:gridSpan w:val="4"/>
            <w:shd w:val="clear" w:color="auto" w:fill="auto"/>
          </w:tcPr>
          <w:p>
            <w:pPr>
              <w:rPr>
                <w:rFonts w:ascii="Calibri" w:hAnsi="Calibri"/>
                <w:sz w:val="24"/>
                <w:szCs w:val="24"/>
              </w:rPr>
            </w:pPr>
            <w:r>
              <w:rPr>
                <w:rFonts w:hint="eastAsia" w:ascii="Calibri" w:hAnsi="Calibri"/>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restart"/>
            <w:shd w:val="clear" w:color="auto" w:fill="auto"/>
          </w:tcPr>
          <w:p>
            <w:pPr>
              <w:rPr>
                <w:rFonts w:ascii="Calibri" w:hAnsi="Calibri"/>
                <w:sz w:val="24"/>
                <w:szCs w:val="24"/>
              </w:rPr>
            </w:pPr>
            <w:r>
              <w:rPr>
                <w:rFonts w:hint="eastAsia" w:ascii="Calibri" w:hAnsi="Calibri"/>
                <w:sz w:val="24"/>
                <w:szCs w:val="24"/>
              </w:rPr>
              <w:t>正</w:t>
            </w:r>
          </w:p>
          <w:p>
            <w:pPr>
              <w:rPr>
                <w:rFonts w:ascii="Calibri" w:hAnsi="Calibri"/>
                <w:sz w:val="24"/>
                <w:szCs w:val="24"/>
              </w:rPr>
            </w:pPr>
            <w:r>
              <w:rPr>
                <w:rFonts w:hint="eastAsia" w:ascii="Calibri" w:hAnsi="Calibri"/>
                <w:sz w:val="24"/>
                <w:szCs w:val="24"/>
              </w:rPr>
              <w:t>在</w:t>
            </w:r>
          </w:p>
          <w:p>
            <w:pPr>
              <w:rPr>
                <w:rFonts w:ascii="Calibri" w:hAnsi="Calibri"/>
                <w:sz w:val="24"/>
                <w:szCs w:val="24"/>
              </w:rPr>
            </w:pPr>
            <w:r>
              <w:rPr>
                <w:rFonts w:hint="eastAsia" w:ascii="Calibri" w:hAnsi="Calibri"/>
                <w:sz w:val="24"/>
                <w:szCs w:val="24"/>
              </w:rPr>
              <w:t>进</w:t>
            </w:r>
          </w:p>
          <w:p>
            <w:pPr>
              <w:rPr>
                <w:rFonts w:ascii="Calibri" w:hAnsi="Calibri"/>
                <w:sz w:val="24"/>
                <w:szCs w:val="24"/>
              </w:rPr>
            </w:pPr>
            <w:r>
              <w:rPr>
                <w:rFonts w:hint="eastAsia" w:ascii="Calibri" w:hAnsi="Calibri"/>
                <w:sz w:val="24"/>
                <w:szCs w:val="24"/>
              </w:rPr>
              <w:t>行</w:t>
            </w:r>
          </w:p>
          <w:p>
            <w:pPr>
              <w:rPr>
                <w:rFonts w:ascii="Calibri" w:hAnsi="Calibri"/>
                <w:sz w:val="24"/>
                <w:szCs w:val="24"/>
              </w:rPr>
            </w:pPr>
            <w:r>
              <w:rPr>
                <w:rFonts w:hint="eastAsia" w:ascii="Calibri" w:hAnsi="Calibri"/>
                <w:sz w:val="24"/>
                <w:szCs w:val="24"/>
              </w:rPr>
              <w:t>工</w:t>
            </w:r>
          </w:p>
          <w:p>
            <w:pPr>
              <w:rPr>
                <w:rFonts w:ascii="Calibri" w:hAnsi="Calibri"/>
                <w:sz w:val="24"/>
                <w:szCs w:val="24"/>
              </w:rPr>
            </w:pPr>
            <w:r>
              <w:rPr>
                <w:rFonts w:hint="eastAsia" w:ascii="Calibri" w:hAnsi="Calibri"/>
                <w:sz w:val="24"/>
                <w:szCs w:val="24"/>
              </w:rPr>
              <w:t>作</w:t>
            </w:r>
          </w:p>
        </w:tc>
        <w:tc>
          <w:tcPr>
            <w:tcW w:w="7847" w:type="dxa"/>
            <w:gridSpan w:val="4"/>
            <w:shd w:val="clear" w:color="auto" w:fill="auto"/>
          </w:tcPr>
          <w:p>
            <w:pPr>
              <w:rPr>
                <w:rFonts w:ascii="Calibri" w:hAnsi="Calibri"/>
                <w:sz w:val="24"/>
                <w:szCs w:val="24"/>
              </w:rPr>
            </w:pPr>
            <w:r>
              <w:rPr>
                <w:rFonts w:hint="eastAsia" w:ascii="Calibri" w:hAnsi="Calibri"/>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restart"/>
            <w:shd w:val="clear" w:color="auto" w:fill="auto"/>
          </w:tcPr>
          <w:p>
            <w:pPr>
              <w:rPr>
                <w:rFonts w:ascii="Calibri" w:hAnsi="Calibri"/>
                <w:sz w:val="24"/>
                <w:szCs w:val="24"/>
              </w:rPr>
            </w:pPr>
            <w:r>
              <w:rPr>
                <w:rFonts w:hint="eastAsia" w:ascii="Calibri" w:hAnsi="Calibri"/>
                <w:sz w:val="24"/>
                <w:szCs w:val="24"/>
              </w:rPr>
              <w:t>将</w:t>
            </w:r>
          </w:p>
          <w:p>
            <w:pPr>
              <w:rPr>
                <w:rFonts w:ascii="Calibri" w:hAnsi="Calibri"/>
                <w:sz w:val="24"/>
                <w:szCs w:val="24"/>
              </w:rPr>
            </w:pPr>
            <w:r>
              <w:rPr>
                <w:rFonts w:hint="eastAsia" w:ascii="Calibri" w:hAnsi="Calibri"/>
                <w:sz w:val="24"/>
                <w:szCs w:val="24"/>
              </w:rPr>
              <w:t>要</w:t>
            </w:r>
          </w:p>
          <w:p>
            <w:pPr>
              <w:rPr>
                <w:rFonts w:ascii="Calibri" w:hAnsi="Calibri"/>
                <w:sz w:val="24"/>
                <w:szCs w:val="24"/>
              </w:rPr>
            </w:pPr>
            <w:r>
              <w:rPr>
                <w:rFonts w:hint="eastAsia" w:ascii="Calibri" w:hAnsi="Calibri"/>
                <w:sz w:val="24"/>
                <w:szCs w:val="24"/>
              </w:rPr>
              <w:t>办</w:t>
            </w:r>
          </w:p>
          <w:p>
            <w:pPr>
              <w:rPr>
                <w:rFonts w:ascii="Calibri" w:hAnsi="Calibri"/>
                <w:sz w:val="24"/>
                <w:szCs w:val="24"/>
              </w:rPr>
            </w:pPr>
            <w:r>
              <w:rPr>
                <w:rFonts w:hint="eastAsia" w:ascii="Calibri" w:hAnsi="Calibri"/>
                <w:sz w:val="24"/>
                <w:szCs w:val="24"/>
              </w:rPr>
              <w:t>理</w:t>
            </w:r>
          </w:p>
          <w:p>
            <w:pPr>
              <w:rPr>
                <w:rFonts w:ascii="Calibri" w:hAnsi="Calibri"/>
                <w:sz w:val="24"/>
                <w:szCs w:val="24"/>
              </w:rPr>
            </w:pPr>
            <w:r>
              <w:rPr>
                <w:rFonts w:hint="eastAsia" w:ascii="Calibri" w:hAnsi="Calibri"/>
                <w:sz w:val="24"/>
                <w:szCs w:val="24"/>
              </w:rPr>
              <w:t>工</w:t>
            </w:r>
          </w:p>
          <w:p>
            <w:pPr>
              <w:rPr>
                <w:rFonts w:ascii="Calibri" w:hAnsi="Calibri"/>
                <w:sz w:val="24"/>
                <w:szCs w:val="24"/>
              </w:rPr>
            </w:pPr>
            <w:r>
              <w:rPr>
                <w:rFonts w:hint="eastAsia" w:ascii="Calibri" w:hAnsi="Calibri"/>
                <w:sz w:val="24"/>
                <w:szCs w:val="24"/>
              </w:rPr>
              <w:t>作</w:t>
            </w:r>
          </w:p>
        </w:tc>
        <w:tc>
          <w:tcPr>
            <w:tcW w:w="7847" w:type="dxa"/>
            <w:gridSpan w:val="4"/>
            <w:shd w:val="clear" w:color="auto" w:fill="auto"/>
          </w:tcPr>
          <w:p>
            <w:pPr>
              <w:rPr>
                <w:rFonts w:ascii="Calibri" w:hAnsi="Calibri"/>
                <w:sz w:val="24"/>
                <w:szCs w:val="24"/>
              </w:rPr>
            </w:pPr>
            <w:r>
              <w:rPr>
                <w:rFonts w:hint="eastAsia" w:ascii="Calibri" w:hAnsi="Calibri"/>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shd w:val="clear" w:color="auto" w:fill="auto"/>
          </w:tcPr>
          <w:p>
            <w:pPr>
              <w:rPr>
                <w:rFonts w:ascii="Calibri" w:hAnsi="Calibri"/>
                <w:sz w:val="24"/>
                <w:szCs w:val="24"/>
              </w:rPr>
            </w:pPr>
          </w:p>
        </w:tc>
        <w:tc>
          <w:tcPr>
            <w:tcW w:w="7847" w:type="dxa"/>
            <w:gridSpan w:val="4"/>
            <w:shd w:val="clear" w:color="auto" w:fill="auto"/>
          </w:tcPr>
          <w:p>
            <w:pPr>
              <w:rPr>
                <w:rFonts w:ascii="Calibri" w:hAnsi="Calibri"/>
                <w:sz w:val="24"/>
                <w:szCs w:val="24"/>
              </w:rPr>
            </w:pPr>
            <w:r>
              <w:rPr>
                <w:rFonts w:hint="eastAsia" w:ascii="Calibri" w:hAnsi="Calibri"/>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shd w:val="clear" w:color="auto" w:fill="auto"/>
          </w:tcPr>
          <w:p>
            <w:pPr>
              <w:rPr>
                <w:rFonts w:ascii="Calibri" w:hAnsi="Calibri"/>
                <w:sz w:val="24"/>
                <w:szCs w:val="24"/>
              </w:rPr>
            </w:pPr>
            <w:r>
              <w:rPr>
                <w:rFonts w:hint="eastAsia" w:ascii="Calibri" w:hAnsi="Calibri"/>
                <w:sz w:val="24"/>
                <w:szCs w:val="24"/>
              </w:rPr>
              <w:t>联系人及方式</w:t>
            </w:r>
          </w:p>
        </w:tc>
        <w:tc>
          <w:tcPr>
            <w:tcW w:w="7847" w:type="dxa"/>
            <w:gridSpan w:val="4"/>
            <w:shd w:val="clear" w:color="auto" w:fill="auto"/>
          </w:tcPr>
          <w:p>
            <w:pPr>
              <w:rPr>
                <w:rFonts w:ascii="Calibri" w:hAnsi="Calibri"/>
                <w:sz w:val="24"/>
                <w:szCs w:val="24"/>
              </w:rPr>
            </w:pPr>
            <w:r>
              <w:rPr>
                <w:rFonts w:hint="eastAsia" w:ascii="Calibri" w:hAnsi="Calibri"/>
                <w:sz w:val="24"/>
                <w:szCs w:val="24"/>
              </w:rPr>
              <w:t>（附联系人及方式一览表）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4" w:type="dxa"/>
            <w:gridSpan w:val="5"/>
            <w:shd w:val="clear" w:color="auto" w:fill="auto"/>
          </w:tcPr>
          <w:p>
            <w:pPr>
              <w:rPr>
                <w:rFonts w:ascii="Calibri" w:hAnsi="Calibri"/>
                <w:sz w:val="24"/>
                <w:szCs w:val="24"/>
              </w:rPr>
            </w:pPr>
            <w:r>
              <w:rPr>
                <w:rFonts w:hint="eastAsia" w:ascii="Calibri" w:hAnsi="Calibri"/>
                <w:sz w:val="24"/>
                <w:szCs w:val="24"/>
              </w:rPr>
              <w:t>部门核准：</w:t>
            </w:r>
          </w:p>
          <w:p>
            <w:pPr>
              <w:rPr>
                <w:rFonts w:ascii="Calibri" w:hAnsi="Calibri"/>
                <w:sz w:val="24"/>
                <w:szCs w:val="24"/>
              </w:rPr>
            </w:pPr>
            <w:r>
              <w:rPr>
                <w:rFonts w:hint="eastAsia" w:ascii="Calibri" w:hAnsi="Calibri"/>
                <w:sz w:val="24"/>
                <w:szCs w:val="24"/>
              </w:rPr>
              <w:t>接管人：              监交人：</w:t>
            </w:r>
          </w:p>
        </w:tc>
      </w:tr>
    </w:tbl>
    <w:p>
      <w:pPr>
        <w:spacing w:line="360" w:lineRule="auto"/>
        <w:ind w:left="315" w:leftChars="150"/>
        <w:rPr>
          <w:szCs w:val="21"/>
        </w:rPr>
      </w:pPr>
      <w:r>
        <w:rPr>
          <w:rFonts w:hint="eastAsia"/>
          <w:szCs w:val="21"/>
        </w:rPr>
        <w:t>注：交接工作必须认真、内容要详细，过程要真实，写清工作所处的状态和阶段，资料要有考据性。（如交接工作较多，可另附表单和附件）</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outlineLvl w:val="1"/>
        <w:rPr>
          <w:rFonts w:asciiTheme="minorEastAsia" w:hAnsiTheme="minorEastAsia"/>
          <w:sz w:val="24"/>
          <w:szCs w:val="24"/>
        </w:rPr>
      </w:pPr>
      <w:bookmarkStart w:id="117" w:name="_Toc403829232"/>
      <w:bookmarkStart w:id="118" w:name="_Toc7296"/>
      <w:r>
        <w:rPr>
          <w:rFonts w:hint="eastAsia" w:asciiTheme="minorEastAsia" w:hAnsiTheme="minorEastAsia"/>
          <w:sz w:val="24"/>
          <w:szCs w:val="24"/>
        </w:rPr>
        <w:t>附件18-1:《培训申请表》</w:t>
      </w:r>
      <w:bookmarkEnd w:id="117"/>
      <w:bookmarkEnd w:id="118"/>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基金会培训申请表</w:t>
      </w:r>
    </w:p>
    <w:tbl>
      <w:tblPr>
        <w:tblStyle w:val="9"/>
        <w:tblW w:w="8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237"/>
        <w:gridCol w:w="1700"/>
        <w:gridCol w:w="2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Cs/>
                <w:sz w:val="24"/>
              </w:rPr>
            </w:pPr>
            <w:r>
              <w:rPr>
                <w:rFonts w:hint="eastAsia" w:ascii="宋体" w:hAnsi="宋体"/>
                <w:bCs/>
                <w:kern w:val="0"/>
                <w:sz w:val="24"/>
              </w:rPr>
              <w:t>申请人</w:t>
            </w:r>
          </w:p>
        </w:tc>
        <w:tc>
          <w:tcPr>
            <w:tcW w:w="6663" w:type="dxa"/>
            <w:gridSpan w:val="3"/>
            <w:tcBorders>
              <w:top w:val="single" w:color="auto" w:sz="6" w:space="0"/>
              <w:left w:val="single" w:color="auto" w:sz="6" w:space="0"/>
              <w:bottom w:val="single" w:color="auto" w:sz="4" w:space="0"/>
              <w:right w:val="single" w:color="auto" w:sz="4" w:space="0"/>
            </w:tcBorders>
            <w:vAlign w:val="center"/>
          </w:tcPr>
          <w:p>
            <w:pPr>
              <w:spacing w:line="360" w:lineRule="auto"/>
              <w:ind w:right="-10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6" w:space="0"/>
              <w:left w:val="single" w:color="auto" w:sz="4" w:space="0"/>
              <w:bottom w:val="single" w:color="auto" w:sz="6" w:space="0"/>
              <w:right w:val="single" w:color="auto" w:sz="6" w:space="0"/>
            </w:tcBorders>
          </w:tcPr>
          <w:p>
            <w:pPr>
              <w:spacing w:line="360" w:lineRule="auto"/>
              <w:ind w:left="-105" w:leftChars="-50" w:right="-108"/>
              <w:jc w:val="center"/>
              <w:rPr>
                <w:rFonts w:ascii="宋体" w:hAnsi="宋体"/>
                <w:bCs/>
                <w:sz w:val="24"/>
              </w:rPr>
            </w:pPr>
            <w:r>
              <w:rPr>
                <w:rFonts w:hint="eastAsia" w:ascii="宋体" w:hAnsi="宋体"/>
                <w:bCs/>
                <w:sz w:val="24"/>
              </w:rPr>
              <w:t>申请时间</w:t>
            </w:r>
          </w:p>
        </w:tc>
        <w:tc>
          <w:tcPr>
            <w:tcW w:w="6663" w:type="dxa"/>
            <w:gridSpan w:val="3"/>
            <w:tcBorders>
              <w:top w:val="single" w:color="auto" w:sz="6" w:space="0"/>
              <w:left w:val="single" w:color="auto" w:sz="6" w:space="0"/>
              <w:bottom w:val="single" w:color="auto" w:sz="4" w:space="0"/>
              <w:right w:val="single" w:color="auto" w:sz="4" w:space="0"/>
            </w:tcBorders>
            <w:vAlign w:val="center"/>
          </w:tcPr>
          <w:p>
            <w:pPr>
              <w:spacing w:line="360" w:lineRule="auto"/>
              <w:ind w:right="-10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Cs/>
                <w:sz w:val="24"/>
              </w:rPr>
            </w:pPr>
            <w:r>
              <w:rPr>
                <w:rFonts w:hint="eastAsia" w:ascii="宋体" w:hAnsi="宋体"/>
                <w:bCs/>
                <w:kern w:val="0"/>
                <w:sz w:val="24"/>
              </w:rPr>
              <w:t>申请培训名称</w:t>
            </w:r>
          </w:p>
        </w:tc>
        <w:tc>
          <w:tcPr>
            <w:tcW w:w="2237" w:type="dxa"/>
            <w:tcBorders>
              <w:top w:val="single" w:color="auto" w:sz="4" w:space="0"/>
              <w:left w:val="single" w:color="auto" w:sz="6" w:space="0"/>
              <w:bottom w:val="single" w:color="auto" w:sz="6" w:space="0"/>
              <w:right w:val="single" w:color="auto" w:sz="6" w:space="0"/>
            </w:tcBorders>
          </w:tcPr>
          <w:p>
            <w:pPr>
              <w:spacing w:line="360" w:lineRule="auto"/>
              <w:ind w:left="-103" w:leftChars="-49" w:right="-105"/>
              <w:jc w:val="center"/>
              <w:rPr>
                <w:rFonts w:ascii="宋体" w:hAnsi="宋体"/>
                <w:bCs/>
                <w:sz w:val="24"/>
              </w:rPr>
            </w:pPr>
          </w:p>
        </w:tc>
        <w:tc>
          <w:tcPr>
            <w:tcW w:w="1700" w:type="dxa"/>
            <w:tcBorders>
              <w:top w:val="single" w:color="auto" w:sz="4" w:space="0"/>
              <w:left w:val="single" w:color="auto" w:sz="6" w:space="0"/>
              <w:bottom w:val="single" w:color="auto" w:sz="6" w:space="0"/>
              <w:right w:val="single" w:color="auto" w:sz="6" w:space="0"/>
            </w:tcBorders>
          </w:tcPr>
          <w:p>
            <w:pPr>
              <w:spacing w:line="360" w:lineRule="auto"/>
              <w:ind w:right="-105"/>
              <w:jc w:val="center"/>
              <w:rPr>
                <w:rFonts w:ascii="宋体" w:hAnsi="宋体"/>
                <w:bCs/>
                <w:sz w:val="24"/>
              </w:rPr>
            </w:pPr>
          </w:p>
        </w:tc>
        <w:tc>
          <w:tcPr>
            <w:tcW w:w="2726" w:type="dxa"/>
            <w:tcBorders>
              <w:top w:val="single" w:color="auto" w:sz="4" w:space="0"/>
              <w:left w:val="single" w:color="auto" w:sz="6" w:space="0"/>
              <w:bottom w:val="single" w:color="auto" w:sz="6" w:space="0"/>
              <w:right w:val="single" w:color="auto" w:sz="4" w:space="0"/>
            </w:tcBorders>
          </w:tcPr>
          <w:p>
            <w:pPr>
              <w:spacing w:line="360" w:lineRule="auto"/>
              <w:ind w:right="-105"/>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Cs/>
                <w:kern w:val="0"/>
                <w:sz w:val="24"/>
              </w:rPr>
            </w:pPr>
            <w:r>
              <w:rPr>
                <w:rFonts w:hint="eastAsia" w:ascii="宋体" w:hAnsi="宋体"/>
                <w:bCs/>
                <w:sz w:val="24"/>
              </w:rPr>
              <w:t>培训主办机构</w:t>
            </w:r>
          </w:p>
        </w:tc>
        <w:tc>
          <w:tcPr>
            <w:tcW w:w="6663" w:type="dxa"/>
            <w:gridSpan w:val="3"/>
            <w:tcBorders>
              <w:top w:val="single" w:color="auto" w:sz="4" w:space="0"/>
              <w:left w:val="single" w:color="auto" w:sz="6" w:space="0"/>
              <w:bottom w:val="single" w:color="auto" w:sz="6" w:space="0"/>
              <w:right w:val="single" w:color="auto" w:sz="4" w:space="0"/>
            </w:tcBorders>
          </w:tcPr>
          <w:p>
            <w:pPr>
              <w:spacing w:line="360" w:lineRule="auto"/>
              <w:ind w:right="-105"/>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6" w:space="0"/>
              <w:left w:val="single" w:color="auto" w:sz="4" w:space="0"/>
              <w:bottom w:val="single" w:color="auto" w:sz="6" w:space="0"/>
              <w:right w:val="single" w:color="auto" w:sz="6" w:space="0"/>
            </w:tcBorders>
          </w:tcPr>
          <w:p>
            <w:pPr>
              <w:spacing w:line="360" w:lineRule="auto"/>
              <w:jc w:val="center"/>
              <w:rPr>
                <w:rFonts w:ascii="宋体" w:hAnsi="宋体"/>
                <w:sz w:val="24"/>
              </w:rPr>
            </w:pPr>
            <w:r>
              <w:rPr>
                <w:rFonts w:hint="eastAsia" w:ascii="宋体" w:hAnsi="宋体"/>
                <w:kern w:val="0"/>
                <w:sz w:val="24"/>
              </w:rPr>
              <w:t>培训时间</w:t>
            </w:r>
          </w:p>
        </w:tc>
        <w:tc>
          <w:tcPr>
            <w:tcW w:w="2237" w:type="dxa"/>
            <w:tcBorders>
              <w:top w:val="single" w:color="auto" w:sz="6" w:space="0"/>
              <w:left w:val="single" w:color="auto" w:sz="6" w:space="0"/>
              <w:bottom w:val="single" w:color="auto" w:sz="6" w:space="0"/>
              <w:right w:val="single" w:color="auto" w:sz="6" w:space="0"/>
            </w:tcBorders>
          </w:tcPr>
          <w:p>
            <w:pPr>
              <w:spacing w:line="360" w:lineRule="auto"/>
              <w:ind w:left="-103" w:leftChars="-49" w:right="-105"/>
              <w:jc w:val="center"/>
              <w:rPr>
                <w:rFonts w:ascii="宋体" w:hAnsi="宋体"/>
                <w:bCs/>
                <w:sz w:val="24"/>
              </w:rPr>
            </w:pPr>
          </w:p>
        </w:tc>
        <w:tc>
          <w:tcPr>
            <w:tcW w:w="1700" w:type="dxa"/>
            <w:tcBorders>
              <w:top w:val="single" w:color="auto" w:sz="6" w:space="0"/>
              <w:left w:val="single" w:color="auto" w:sz="6" w:space="0"/>
              <w:bottom w:val="single" w:color="auto" w:sz="6" w:space="0"/>
              <w:right w:val="single" w:color="auto" w:sz="6" w:space="0"/>
            </w:tcBorders>
          </w:tcPr>
          <w:p>
            <w:pPr>
              <w:spacing w:line="360" w:lineRule="auto"/>
              <w:ind w:right="-105"/>
              <w:jc w:val="center"/>
              <w:rPr>
                <w:rFonts w:ascii="宋体" w:hAnsi="宋体"/>
                <w:bCs/>
                <w:sz w:val="24"/>
              </w:rPr>
            </w:pPr>
            <w:r>
              <w:rPr>
                <w:rFonts w:hint="eastAsia" w:ascii="宋体" w:hAnsi="宋体"/>
                <w:sz w:val="24"/>
              </w:rPr>
              <w:t>培训地点</w:t>
            </w:r>
          </w:p>
        </w:tc>
        <w:tc>
          <w:tcPr>
            <w:tcW w:w="2726" w:type="dxa"/>
            <w:tcBorders>
              <w:top w:val="single" w:color="auto" w:sz="6" w:space="0"/>
              <w:left w:val="single" w:color="auto" w:sz="6" w:space="0"/>
              <w:bottom w:val="single" w:color="auto" w:sz="6" w:space="0"/>
              <w:right w:val="single" w:color="auto" w:sz="4" w:space="0"/>
            </w:tcBorders>
          </w:tcPr>
          <w:p>
            <w:pPr>
              <w:spacing w:line="360" w:lineRule="auto"/>
              <w:ind w:right="-105"/>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1701" w:type="dxa"/>
            <w:vMerge w:val="restart"/>
            <w:tcBorders>
              <w:top w:val="single" w:color="auto" w:sz="6" w:space="0"/>
              <w:left w:val="single" w:color="auto" w:sz="4" w:space="0"/>
              <w:right w:val="single" w:color="auto" w:sz="6" w:space="0"/>
            </w:tcBorders>
            <w:vAlign w:val="center"/>
          </w:tcPr>
          <w:p>
            <w:pPr>
              <w:snapToGrid w:val="0"/>
              <w:spacing w:line="360" w:lineRule="auto"/>
              <w:ind w:right="-108"/>
              <w:jc w:val="center"/>
              <w:rPr>
                <w:rFonts w:ascii="宋体" w:hAnsi="宋体"/>
                <w:sz w:val="24"/>
              </w:rPr>
            </w:pPr>
            <w:r>
              <w:rPr>
                <w:rFonts w:hint="eastAsia" w:ascii="宋体" w:hAnsi="宋体"/>
                <w:sz w:val="24"/>
              </w:rPr>
              <w:t>申请培训</w:t>
            </w:r>
          </w:p>
          <w:p>
            <w:pPr>
              <w:snapToGrid w:val="0"/>
              <w:spacing w:line="360" w:lineRule="auto"/>
              <w:ind w:right="-108"/>
              <w:jc w:val="center"/>
              <w:rPr>
                <w:rFonts w:ascii="宋体" w:hAnsi="宋体"/>
                <w:sz w:val="24"/>
              </w:rPr>
            </w:pPr>
            <w:r>
              <w:rPr>
                <w:rFonts w:hint="eastAsia" w:ascii="宋体" w:hAnsi="宋体"/>
                <w:sz w:val="24"/>
              </w:rPr>
              <w:t>理由</w:t>
            </w:r>
          </w:p>
        </w:tc>
        <w:tc>
          <w:tcPr>
            <w:tcW w:w="6663" w:type="dxa"/>
            <w:gridSpan w:val="3"/>
            <w:tcBorders>
              <w:top w:val="single" w:color="auto" w:sz="6"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1701" w:type="dxa"/>
            <w:vMerge w:val="continue"/>
            <w:tcBorders>
              <w:left w:val="single" w:color="auto" w:sz="4" w:space="0"/>
              <w:right w:val="single" w:color="auto" w:sz="6" w:space="0"/>
            </w:tcBorders>
            <w:vAlign w:val="center"/>
          </w:tcPr>
          <w:p>
            <w:pPr>
              <w:snapToGrid w:val="0"/>
              <w:spacing w:line="360" w:lineRule="auto"/>
              <w:ind w:right="-108"/>
              <w:rPr>
                <w:rFonts w:ascii="宋体" w:hAnsi="宋体"/>
                <w:sz w:val="24"/>
              </w:rPr>
            </w:pPr>
          </w:p>
        </w:tc>
        <w:tc>
          <w:tcPr>
            <w:tcW w:w="6663"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1701" w:type="dxa"/>
            <w:vMerge w:val="continue"/>
            <w:tcBorders>
              <w:left w:val="single" w:color="auto" w:sz="4" w:space="0"/>
              <w:right w:val="single" w:color="auto" w:sz="6" w:space="0"/>
            </w:tcBorders>
            <w:vAlign w:val="center"/>
          </w:tcPr>
          <w:p>
            <w:pPr>
              <w:snapToGrid w:val="0"/>
              <w:spacing w:line="360" w:lineRule="auto"/>
              <w:ind w:right="-108"/>
              <w:rPr>
                <w:rFonts w:ascii="宋体" w:hAnsi="宋体"/>
                <w:sz w:val="24"/>
              </w:rPr>
            </w:pPr>
          </w:p>
        </w:tc>
        <w:tc>
          <w:tcPr>
            <w:tcW w:w="6663"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701" w:type="dxa"/>
            <w:vMerge w:val="continue"/>
            <w:tcBorders>
              <w:left w:val="single" w:color="auto" w:sz="4" w:space="0"/>
              <w:right w:val="single" w:color="auto" w:sz="6" w:space="0"/>
            </w:tcBorders>
            <w:vAlign w:val="center"/>
          </w:tcPr>
          <w:p>
            <w:pPr>
              <w:snapToGrid w:val="0"/>
              <w:spacing w:line="360" w:lineRule="auto"/>
              <w:ind w:right="-108"/>
              <w:rPr>
                <w:rFonts w:ascii="宋体" w:hAnsi="宋体"/>
                <w:sz w:val="24"/>
              </w:rPr>
            </w:pPr>
          </w:p>
        </w:tc>
        <w:tc>
          <w:tcPr>
            <w:tcW w:w="6663"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1701" w:type="dxa"/>
            <w:vMerge w:val="continue"/>
            <w:tcBorders>
              <w:left w:val="single" w:color="auto" w:sz="4" w:space="0"/>
              <w:right w:val="single" w:color="auto" w:sz="6" w:space="0"/>
            </w:tcBorders>
            <w:vAlign w:val="center"/>
          </w:tcPr>
          <w:p>
            <w:pPr>
              <w:snapToGrid w:val="0"/>
              <w:spacing w:line="360" w:lineRule="auto"/>
              <w:ind w:right="-108"/>
              <w:rPr>
                <w:rFonts w:ascii="宋体" w:hAnsi="宋体"/>
                <w:sz w:val="24"/>
              </w:rPr>
            </w:pPr>
          </w:p>
        </w:tc>
        <w:tc>
          <w:tcPr>
            <w:tcW w:w="6663"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701" w:type="dxa"/>
            <w:vMerge w:val="continue"/>
            <w:tcBorders>
              <w:left w:val="single" w:color="auto" w:sz="4" w:space="0"/>
              <w:right w:val="single" w:color="auto" w:sz="6" w:space="0"/>
            </w:tcBorders>
            <w:vAlign w:val="center"/>
          </w:tcPr>
          <w:p>
            <w:pPr>
              <w:snapToGrid w:val="0"/>
              <w:spacing w:line="360" w:lineRule="auto"/>
              <w:ind w:right="-108"/>
              <w:rPr>
                <w:rFonts w:ascii="宋体" w:hAnsi="宋体"/>
                <w:sz w:val="24"/>
              </w:rPr>
            </w:pPr>
          </w:p>
        </w:tc>
        <w:tc>
          <w:tcPr>
            <w:tcW w:w="6663"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01" w:type="dxa"/>
            <w:vMerge w:val="continue"/>
            <w:tcBorders>
              <w:left w:val="single" w:color="auto" w:sz="4" w:space="0"/>
              <w:right w:val="single" w:color="auto" w:sz="6" w:space="0"/>
            </w:tcBorders>
            <w:vAlign w:val="center"/>
          </w:tcPr>
          <w:p>
            <w:pPr>
              <w:snapToGrid w:val="0"/>
              <w:spacing w:line="360" w:lineRule="auto"/>
              <w:ind w:right="-108"/>
              <w:rPr>
                <w:rFonts w:ascii="宋体" w:hAnsi="宋体"/>
                <w:sz w:val="24"/>
              </w:rPr>
            </w:pPr>
          </w:p>
        </w:tc>
        <w:tc>
          <w:tcPr>
            <w:tcW w:w="6663"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01" w:type="dxa"/>
            <w:tcBorders>
              <w:left w:val="single" w:color="auto" w:sz="4" w:space="0"/>
              <w:right w:val="single" w:color="auto" w:sz="6" w:space="0"/>
            </w:tcBorders>
            <w:vAlign w:val="center"/>
          </w:tcPr>
          <w:p>
            <w:pPr>
              <w:snapToGrid w:val="0"/>
              <w:spacing w:line="360" w:lineRule="auto"/>
              <w:ind w:right="-108"/>
              <w:jc w:val="center"/>
              <w:rPr>
                <w:rFonts w:ascii="宋体" w:hAnsi="宋体"/>
                <w:sz w:val="24"/>
              </w:rPr>
            </w:pPr>
            <w:r>
              <w:rPr>
                <w:rFonts w:hint="eastAsia" w:ascii="宋体" w:hAnsi="宋体"/>
                <w:sz w:val="24"/>
              </w:rPr>
              <w:t>部门主管</w:t>
            </w:r>
          </w:p>
          <w:p>
            <w:pPr>
              <w:snapToGrid w:val="0"/>
              <w:spacing w:line="360" w:lineRule="auto"/>
              <w:ind w:right="-108"/>
              <w:jc w:val="center"/>
              <w:rPr>
                <w:rFonts w:ascii="宋体" w:hAnsi="宋体"/>
                <w:sz w:val="24"/>
              </w:rPr>
            </w:pPr>
            <w:r>
              <w:rPr>
                <w:rFonts w:hint="eastAsia" w:ascii="宋体" w:hAnsi="宋体"/>
                <w:sz w:val="24"/>
              </w:rPr>
              <w:t>意见</w:t>
            </w:r>
          </w:p>
        </w:tc>
        <w:tc>
          <w:tcPr>
            <w:tcW w:w="6663"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01" w:type="dxa"/>
            <w:tcBorders>
              <w:left w:val="single" w:color="auto" w:sz="4" w:space="0"/>
              <w:right w:val="single" w:color="auto" w:sz="6" w:space="0"/>
            </w:tcBorders>
            <w:vAlign w:val="center"/>
          </w:tcPr>
          <w:p>
            <w:pPr>
              <w:snapToGrid w:val="0"/>
              <w:spacing w:line="360" w:lineRule="auto"/>
              <w:ind w:right="-108"/>
              <w:jc w:val="center"/>
              <w:rPr>
                <w:rFonts w:ascii="宋体" w:hAnsi="宋体"/>
                <w:sz w:val="24"/>
              </w:rPr>
            </w:pPr>
            <w:r>
              <w:rPr>
                <w:rFonts w:hint="eastAsia" w:ascii="宋体" w:hAnsi="宋体"/>
                <w:sz w:val="24"/>
              </w:rPr>
              <w:t>基金会</w:t>
            </w:r>
          </w:p>
          <w:p>
            <w:pPr>
              <w:snapToGrid w:val="0"/>
              <w:spacing w:line="360" w:lineRule="auto"/>
              <w:ind w:right="-108"/>
              <w:jc w:val="center"/>
              <w:rPr>
                <w:rFonts w:ascii="宋体" w:hAnsi="宋体"/>
                <w:sz w:val="24"/>
              </w:rPr>
            </w:pPr>
            <w:r>
              <w:rPr>
                <w:rFonts w:hint="eastAsia" w:ascii="宋体" w:hAnsi="宋体"/>
                <w:sz w:val="24"/>
              </w:rPr>
              <w:t>领导意见</w:t>
            </w:r>
          </w:p>
        </w:tc>
        <w:tc>
          <w:tcPr>
            <w:tcW w:w="6663"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bl>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outlineLvl w:val="1"/>
        <w:rPr>
          <w:rFonts w:asciiTheme="minorEastAsia" w:hAnsiTheme="minorEastAsia"/>
          <w:sz w:val="24"/>
          <w:szCs w:val="24"/>
        </w:rPr>
      </w:pPr>
      <w:bookmarkStart w:id="119" w:name="_Toc403829233"/>
      <w:bookmarkStart w:id="120" w:name="_Toc7308"/>
      <w:r>
        <w:rPr>
          <w:rFonts w:hint="eastAsia" w:asciiTheme="minorEastAsia" w:hAnsiTheme="minorEastAsia"/>
          <w:sz w:val="24"/>
          <w:szCs w:val="24"/>
        </w:rPr>
        <w:t>附件18-2：《培训总结表》</w:t>
      </w:r>
      <w:bookmarkEnd w:id="119"/>
      <w:bookmarkEnd w:id="120"/>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基金会培训总结表</w:t>
      </w:r>
    </w:p>
    <w:tbl>
      <w:tblPr>
        <w:tblStyle w:val="9"/>
        <w:tblW w:w="8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2217"/>
        <w:gridCol w:w="1700"/>
        <w:gridCol w:w="2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4"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Cs/>
                <w:sz w:val="24"/>
              </w:rPr>
            </w:pPr>
            <w:r>
              <w:rPr>
                <w:rFonts w:hint="eastAsia" w:ascii="宋体" w:hAnsi="宋体"/>
                <w:bCs/>
                <w:kern w:val="0"/>
                <w:sz w:val="24"/>
              </w:rPr>
              <w:t>培训总结人</w:t>
            </w:r>
          </w:p>
        </w:tc>
        <w:tc>
          <w:tcPr>
            <w:tcW w:w="6799" w:type="dxa"/>
            <w:gridSpan w:val="3"/>
            <w:tcBorders>
              <w:top w:val="single" w:color="auto" w:sz="6" w:space="0"/>
              <w:left w:val="single" w:color="auto" w:sz="6" w:space="0"/>
              <w:bottom w:val="single" w:color="auto" w:sz="4" w:space="0"/>
              <w:right w:val="single" w:color="auto" w:sz="4" w:space="0"/>
            </w:tcBorders>
            <w:vAlign w:val="center"/>
          </w:tcPr>
          <w:p>
            <w:pPr>
              <w:spacing w:line="360" w:lineRule="auto"/>
              <w:ind w:right="-10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4" w:type="dxa"/>
            <w:tcBorders>
              <w:top w:val="single" w:color="auto" w:sz="6" w:space="0"/>
              <w:left w:val="single" w:color="auto" w:sz="4" w:space="0"/>
              <w:bottom w:val="single" w:color="auto" w:sz="6" w:space="0"/>
              <w:right w:val="single" w:color="auto" w:sz="6" w:space="0"/>
            </w:tcBorders>
          </w:tcPr>
          <w:p>
            <w:pPr>
              <w:spacing w:line="360" w:lineRule="auto"/>
              <w:ind w:left="-105" w:leftChars="-50" w:right="-108"/>
              <w:jc w:val="center"/>
              <w:rPr>
                <w:rFonts w:ascii="宋体" w:hAnsi="宋体"/>
                <w:bCs/>
                <w:sz w:val="24"/>
              </w:rPr>
            </w:pPr>
            <w:r>
              <w:rPr>
                <w:rFonts w:hint="eastAsia" w:ascii="宋体" w:hAnsi="宋体"/>
                <w:bCs/>
                <w:sz w:val="24"/>
              </w:rPr>
              <w:t>培训时间/地点</w:t>
            </w:r>
          </w:p>
        </w:tc>
        <w:tc>
          <w:tcPr>
            <w:tcW w:w="6799" w:type="dxa"/>
            <w:gridSpan w:val="3"/>
            <w:tcBorders>
              <w:top w:val="single" w:color="auto" w:sz="6" w:space="0"/>
              <w:left w:val="single" w:color="auto" w:sz="6" w:space="0"/>
              <w:bottom w:val="single" w:color="auto" w:sz="4" w:space="0"/>
              <w:right w:val="single" w:color="auto" w:sz="4" w:space="0"/>
            </w:tcBorders>
            <w:vAlign w:val="center"/>
          </w:tcPr>
          <w:p>
            <w:pPr>
              <w:spacing w:line="360" w:lineRule="auto"/>
              <w:ind w:right="-10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Cs/>
                <w:sz w:val="24"/>
              </w:rPr>
            </w:pPr>
            <w:r>
              <w:rPr>
                <w:rFonts w:hint="eastAsia" w:ascii="宋体" w:hAnsi="宋体"/>
                <w:bCs/>
                <w:kern w:val="0"/>
                <w:sz w:val="24"/>
              </w:rPr>
              <w:t>培训名称</w:t>
            </w:r>
          </w:p>
        </w:tc>
        <w:tc>
          <w:tcPr>
            <w:tcW w:w="2217" w:type="dxa"/>
            <w:tcBorders>
              <w:top w:val="single" w:color="auto" w:sz="4" w:space="0"/>
              <w:left w:val="single" w:color="auto" w:sz="6" w:space="0"/>
              <w:bottom w:val="single" w:color="auto" w:sz="6" w:space="0"/>
              <w:right w:val="single" w:color="auto" w:sz="6" w:space="0"/>
            </w:tcBorders>
          </w:tcPr>
          <w:p>
            <w:pPr>
              <w:spacing w:line="360" w:lineRule="auto"/>
              <w:ind w:left="-103" w:leftChars="-49" w:right="-105"/>
              <w:jc w:val="center"/>
              <w:rPr>
                <w:rFonts w:ascii="宋体" w:hAnsi="宋体"/>
                <w:bCs/>
                <w:sz w:val="24"/>
              </w:rPr>
            </w:pPr>
          </w:p>
        </w:tc>
        <w:tc>
          <w:tcPr>
            <w:tcW w:w="1700" w:type="dxa"/>
            <w:tcBorders>
              <w:top w:val="single" w:color="auto" w:sz="4" w:space="0"/>
              <w:left w:val="single" w:color="auto" w:sz="6" w:space="0"/>
              <w:bottom w:val="single" w:color="auto" w:sz="6" w:space="0"/>
              <w:right w:val="single" w:color="auto" w:sz="6" w:space="0"/>
            </w:tcBorders>
          </w:tcPr>
          <w:p>
            <w:pPr>
              <w:spacing w:line="360" w:lineRule="auto"/>
              <w:ind w:right="-105"/>
              <w:jc w:val="center"/>
              <w:rPr>
                <w:rFonts w:ascii="宋体" w:hAnsi="宋体"/>
                <w:bCs/>
                <w:sz w:val="24"/>
              </w:rPr>
            </w:pPr>
          </w:p>
        </w:tc>
        <w:tc>
          <w:tcPr>
            <w:tcW w:w="2882" w:type="dxa"/>
            <w:tcBorders>
              <w:top w:val="single" w:color="auto" w:sz="4" w:space="0"/>
              <w:left w:val="single" w:color="auto" w:sz="6" w:space="0"/>
              <w:bottom w:val="single" w:color="auto" w:sz="6" w:space="0"/>
              <w:right w:val="single" w:color="auto" w:sz="4" w:space="0"/>
            </w:tcBorders>
          </w:tcPr>
          <w:p>
            <w:pPr>
              <w:spacing w:line="360" w:lineRule="auto"/>
              <w:ind w:right="-105"/>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Cs/>
                <w:kern w:val="0"/>
                <w:sz w:val="24"/>
              </w:rPr>
            </w:pPr>
            <w:r>
              <w:rPr>
                <w:rFonts w:hint="eastAsia" w:ascii="宋体" w:hAnsi="宋体"/>
                <w:bCs/>
                <w:sz w:val="24"/>
              </w:rPr>
              <w:t>主办机构</w:t>
            </w:r>
          </w:p>
        </w:tc>
        <w:tc>
          <w:tcPr>
            <w:tcW w:w="6799" w:type="dxa"/>
            <w:gridSpan w:val="3"/>
            <w:tcBorders>
              <w:top w:val="single" w:color="auto" w:sz="4" w:space="0"/>
              <w:left w:val="single" w:color="auto" w:sz="6" w:space="0"/>
              <w:bottom w:val="single" w:color="auto" w:sz="6" w:space="0"/>
              <w:right w:val="single" w:color="auto" w:sz="4" w:space="0"/>
            </w:tcBorders>
          </w:tcPr>
          <w:p>
            <w:pPr>
              <w:spacing w:line="360" w:lineRule="auto"/>
              <w:ind w:right="-105"/>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tcBorders>
              <w:top w:val="single" w:color="auto" w:sz="6" w:space="0"/>
              <w:left w:val="single" w:color="auto" w:sz="4" w:space="0"/>
              <w:bottom w:val="single" w:color="auto" w:sz="6" w:space="0"/>
              <w:right w:val="single" w:color="auto" w:sz="6" w:space="0"/>
            </w:tcBorders>
          </w:tcPr>
          <w:p>
            <w:pPr>
              <w:spacing w:line="360" w:lineRule="auto"/>
              <w:jc w:val="center"/>
              <w:rPr>
                <w:rFonts w:ascii="宋体" w:hAnsi="宋体"/>
                <w:sz w:val="24"/>
              </w:rPr>
            </w:pPr>
          </w:p>
          <w:p>
            <w:pPr>
              <w:spacing w:line="360" w:lineRule="auto"/>
              <w:jc w:val="center"/>
              <w:rPr>
                <w:rFonts w:ascii="宋体" w:hAnsi="宋体"/>
                <w:sz w:val="24"/>
              </w:rPr>
            </w:pPr>
            <w:r>
              <w:rPr>
                <w:rFonts w:hint="eastAsia" w:ascii="宋体" w:hAnsi="宋体"/>
                <w:sz w:val="24"/>
              </w:rPr>
              <w:t>培训情况</w:t>
            </w:r>
          </w:p>
          <w:p>
            <w:pPr>
              <w:spacing w:line="360" w:lineRule="auto"/>
              <w:jc w:val="center"/>
              <w:rPr>
                <w:rFonts w:ascii="宋体" w:hAnsi="宋体"/>
                <w:sz w:val="24"/>
              </w:rPr>
            </w:pPr>
            <w:r>
              <w:rPr>
                <w:rFonts w:hint="eastAsia" w:ascii="宋体" w:hAnsi="宋体"/>
                <w:sz w:val="24"/>
              </w:rPr>
              <w:t>概述</w:t>
            </w:r>
          </w:p>
        </w:tc>
        <w:tc>
          <w:tcPr>
            <w:tcW w:w="6799" w:type="dxa"/>
            <w:gridSpan w:val="3"/>
            <w:tcBorders>
              <w:top w:val="single" w:color="auto" w:sz="6" w:space="0"/>
              <w:left w:val="single" w:color="auto" w:sz="6" w:space="0"/>
              <w:bottom w:val="single" w:color="auto" w:sz="6" w:space="0"/>
              <w:right w:val="single" w:color="auto" w:sz="4" w:space="0"/>
            </w:tcBorders>
          </w:tcPr>
          <w:p>
            <w:pPr>
              <w:spacing w:line="360" w:lineRule="auto"/>
              <w:ind w:right="-105"/>
              <w:jc w:val="center"/>
              <w:rPr>
                <w:rFonts w:ascii="宋体" w:hAnsi="宋体"/>
                <w:bCs/>
                <w:sz w:val="24"/>
              </w:rPr>
            </w:pPr>
          </w:p>
          <w:p>
            <w:pPr>
              <w:spacing w:line="360" w:lineRule="auto"/>
              <w:ind w:right="-105"/>
              <w:jc w:val="center"/>
              <w:rPr>
                <w:rFonts w:ascii="宋体" w:hAnsi="宋体"/>
                <w:bCs/>
                <w:sz w:val="24"/>
              </w:rPr>
            </w:pPr>
          </w:p>
          <w:p>
            <w:pPr>
              <w:spacing w:line="360" w:lineRule="auto"/>
              <w:ind w:right="-105"/>
              <w:jc w:val="center"/>
              <w:rPr>
                <w:rFonts w:ascii="宋体" w:hAnsi="宋体"/>
                <w:bCs/>
                <w:sz w:val="24"/>
              </w:rPr>
            </w:pPr>
          </w:p>
          <w:p>
            <w:pPr>
              <w:spacing w:line="360" w:lineRule="auto"/>
              <w:ind w:right="-105"/>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1614" w:type="dxa"/>
            <w:vMerge w:val="restart"/>
            <w:tcBorders>
              <w:top w:val="single" w:color="auto" w:sz="6" w:space="0"/>
              <w:left w:val="single" w:color="auto" w:sz="4" w:space="0"/>
              <w:right w:val="single" w:color="auto" w:sz="6" w:space="0"/>
            </w:tcBorders>
            <w:vAlign w:val="center"/>
          </w:tcPr>
          <w:p>
            <w:pPr>
              <w:snapToGrid w:val="0"/>
              <w:spacing w:line="360" w:lineRule="auto"/>
              <w:ind w:right="-108"/>
              <w:jc w:val="center"/>
              <w:rPr>
                <w:rFonts w:ascii="宋体" w:hAnsi="宋体"/>
                <w:sz w:val="24"/>
              </w:rPr>
            </w:pPr>
            <w:r>
              <w:rPr>
                <w:rFonts w:hint="eastAsia" w:ascii="宋体" w:hAnsi="宋体"/>
                <w:sz w:val="24"/>
              </w:rPr>
              <w:t>培训收获</w:t>
            </w:r>
          </w:p>
          <w:p>
            <w:pPr>
              <w:snapToGrid w:val="0"/>
              <w:spacing w:line="360" w:lineRule="auto"/>
              <w:ind w:right="-108"/>
              <w:jc w:val="center"/>
              <w:rPr>
                <w:rFonts w:ascii="宋体" w:hAnsi="宋体"/>
                <w:sz w:val="24"/>
              </w:rPr>
            </w:pPr>
            <w:r>
              <w:rPr>
                <w:rFonts w:hint="eastAsia" w:ascii="宋体" w:hAnsi="宋体"/>
                <w:sz w:val="24"/>
              </w:rPr>
              <w:t>与感悟</w:t>
            </w:r>
          </w:p>
        </w:tc>
        <w:tc>
          <w:tcPr>
            <w:tcW w:w="6799" w:type="dxa"/>
            <w:gridSpan w:val="3"/>
            <w:tcBorders>
              <w:top w:val="single" w:color="auto" w:sz="6"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1614" w:type="dxa"/>
            <w:vMerge w:val="continue"/>
            <w:tcBorders>
              <w:left w:val="single" w:color="auto" w:sz="4" w:space="0"/>
              <w:right w:val="single" w:color="auto" w:sz="6" w:space="0"/>
            </w:tcBorders>
            <w:vAlign w:val="center"/>
          </w:tcPr>
          <w:p>
            <w:pPr>
              <w:snapToGrid w:val="0"/>
              <w:spacing w:line="360" w:lineRule="auto"/>
              <w:ind w:right="-108"/>
              <w:rPr>
                <w:rFonts w:ascii="宋体" w:hAnsi="宋体"/>
                <w:sz w:val="24"/>
              </w:rPr>
            </w:pPr>
          </w:p>
        </w:tc>
        <w:tc>
          <w:tcPr>
            <w:tcW w:w="6799"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1614" w:type="dxa"/>
            <w:vMerge w:val="continue"/>
            <w:tcBorders>
              <w:left w:val="single" w:color="auto" w:sz="4" w:space="0"/>
              <w:right w:val="single" w:color="auto" w:sz="6" w:space="0"/>
            </w:tcBorders>
            <w:vAlign w:val="center"/>
          </w:tcPr>
          <w:p>
            <w:pPr>
              <w:snapToGrid w:val="0"/>
              <w:spacing w:line="360" w:lineRule="auto"/>
              <w:ind w:right="-108"/>
              <w:rPr>
                <w:rFonts w:ascii="宋体" w:hAnsi="宋体"/>
                <w:sz w:val="24"/>
              </w:rPr>
            </w:pPr>
          </w:p>
        </w:tc>
        <w:tc>
          <w:tcPr>
            <w:tcW w:w="6799"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614" w:type="dxa"/>
            <w:vMerge w:val="continue"/>
            <w:tcBorders>
              <w:left w:val="single" w:color="auto" w:sz="4" w:space="0"/>
              <w:right w:val="single" w:color="auto" w:sz="6" w:space="0"/>
            </w:tcBorders>
            <w:vAlign w:val="center"/>
          </w:tcPr>
          <w:p>
            <w:pPr>
              <w:snapToGrid w:val="0"/>
              <w:spacing w:line="360" w:lineRule="auto"/>
              <w:ind w:right="-108"/>
              <w:rPr>
                <w:rFonts w:ascii="宋体" w:hAnsi="宋体"/>
                <w:sz w:val="24"/>
              </w:rPr>
            </w:pPr>
          </w:p>
        </w:tc>
        <w:tc>
          <w:tcPr>
            <w:tcW w:w="6799"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1614" w:type="dxa"/>
            <w:vMerge w:val="continue"/>
            <w:tcBorders>
              <w:left w:val="single" w:color="auto" w:sz="4" w:space="0"/>
              <w:right w:val="single" w:color="auto" w:sz="6" w:space="0"/>
            </w:tcBorders>
            <w:vAlign w:val="center"/>
          </w:tcPr>
          <w:p>
            <w:pPr>
              <w:snapToGrid w:val="0"/>
              <w:spacing w:line="360" w:lineRule="auto"/>
              <w:ind w:right="-108"/>
              <w:rPr>
                <w:rFonts w:ascii="宋体" w:hAnsi="宋体"/>
                <w:sz w:val="24"/>
              </w:rPr>
            </w:pPr>
          </w:p>
        </w:tc>
        <w:tc>
          <w:tcPr>
            <w:tcW w:w="6799"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614" w:type="dxa"/>
            <w:vMerge w:val="continue"/>
            <w:tcBorders>
              <w:left w:val="single" w:color="auto" w:sz="4" w:space="0"/>
              <w:right w:val="single" w:color="auto" w:sz="6" w:space="0"/>
            </w:tcBorders>
            <w:vAlign w:val="center"/>
          </w:tcPr>
          <w:p>
            <w:pPr>
              <w:snapToGrid w:val="0"/>
              <w:spacing w:line="360" w:lineRule="auto"/>
              <w:ind w:right="-108"/>
              <w:rPr>
                <w:rFonts w:ascii="宋体" w:hAnsi="宋体"/>
                <w:sz w:val="24"/>
              </w:rPr>
            </w:pPr>
          </w:p>
        </w:tc>
        <w:tc>
          <w:tcPr>
            <w:tcW w:w="6799"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614" w:type="dxa"/>
            <w:vMerge w:val="continue"/>
            <w:tcBorders>
              <w:left w:val="single" w:color="auto" w:sz="4" w:space="0"/>
              <w:right w:val="single" w:color="auto" w:sz="6" w:space="0"/>
            </w:tcBorders>
            <w:vAlign w:val="center"/>
          </w:tcPr>
          <w:p>
            <w:pPr>
              <w:snapToGrid w:val="0"/>
              <w:spacing w:line="360" w:lineRule="auto"/>
              <w:ind w:right="-108"/>
              <w:rPr>
                <w:rFonts w:ascii="宋体" w:hAnsi="宋体"/>
                <w:sz w:val="24"/>
              </w:rPr>
            </w:pPr>
          </w:p>
        </w:tc>
        <w:tc>
          <w:tcPr>
            <w:tcW w:w="6799"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614" w:type="dxa"/>
            <w:tcBorders>
              <w:left w:val="single" w:color="auto" w:sz="4" w:space="0"/>
              <w:right w:val="single" w:color="auto" w:sz="6" w:space="0"/>
            </w:tcBorders>
            <w:vAlign w:val="center"/>
          </w:tcPr>
          <w:p>
            <w:pPr>
              <w:snapToGrid w:val="0"/>
              <w:spacing w:line="360" w:lineRule="auto"/>
              <w:ind w:right="-108"/>
              <w:jc w:val="center"/>
              <w:rPr>
                <w:rFonts w:ascii="宋体" w:hAnsi="宋体"/>
                <w:sz w:val="24"/>
              </w:rPr>
            </w:pPr>
            <w:r>
              <w:rPr>
                <w:rFonts w:hint="eastAsia" w:ascii="宋体" w:hAnsi="宋体"/>
                <w:sz w:val="24"/>
              </w:rPr>
              <w:t>培训后续</w:t>
            </w:r>
          </w:p>
          <w:p>
            <w:pPr>
              <w:snapToGrid w:val="0"/>
              <w:spacing w:line="360" w:lineRule="auto"/>
              <w:ind w:right="-108"/>
              <w:jc w:val="center"/>
              <w:rPr>
                <w:rFonts w:ascii="宋体" w:hAnsi="宋体"/>
                <w:sz w:val="24"/>
              </w:rPr>
            </w:pPr>
            <w:r>
              <w:rPr>
                <w:rFonts w:hint="eastAsia" w:ascii="宋体" w:hAnsi="宋体"/>
                <w:sz w:val="24"/>
              </w:rPr>
              <w:t>计划</w:t>
            </w:r>
          </w:p>
        </w:tc>
        <w:tc>
          <w:tcPr>
            <w:tcW w:w="6799"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p>
            <w:pPr>
              <w:spacing w:line="360" w:lineRule="auto"/>
              <w:ind w:right="318"/>
              <w:jc w:val="center"/>
              <w:rPr>
                <w:rFonts w:ascii="宋体" w:hAnsi="宋体"/>
                <w:bCs/>
                <w:sz w:val="24"/>
              </w:rPr>
            </w:pPr>
          </w:p>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614" w:type="dxa"/>
            <w:tcBorders>
              <w:left w:val="single" w:color="auto" w:sz="4" w:space="0"/>
              <w:right w:val="single" w:color="auto" w:sz="6" w:space="0"/>
            </w:tcBorders>
            <w:vAlign w:val="center"/>
          </w:tcPr>
          <w:p>
            <w:pPr>
              <w:snapToGrid w:val="0"/>
              <w:spacing w:line="360" w:lineRule="auto"/>
              <w:ind w:right="-108"/>
              <w:jc w:val="center"/>
              <w:rPr>
                <w:rFonts w:ascii="宋体" w:hAnsi="宋体"/>
                <w:sz w:val="24"/>
              </w:rPr>
            </w:pPr>
            <w:r>
              <w:rPr>
                <w:rFonts w:hint="eastAsia" w:ascii="宋体" w:hAnsi="宋体"/>
                <w:sz w:val="24"/>
              </w:rPr>
              <w:t>培训分享</w:t>
            </w:r>
          </w:p>
          <w:p>
            <w:pPr>
              <w:snapToGrid w:val="0"/>
              <w:spacing w:line="360" w:lineRule="auto"/>
              <w:ind w:right="-108"/>
              <w:jc w:val="center"/>
              <w:rPr>
                <w:rFonts w:ascii="宋体" w:hAnsi="宋体"/>
                <w:sz w:val="24"/>
              </w:rPr>
            </w:pPr>
            <w:r>
              <w:rPr>
                <w:rFonts w:hint="eastAsia" w:ascii="宋体" w:hAnsi="宋体"/>
                <w:sz w:val="24"/>
              </w:rPr>
              <w:t>安排</w:t>
            </w:r>
          </w:p>
        </w:tc>
        <w:tc>
          <w:tcPr>
            <w:tcW w:w="6799"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614" w:type="dxa"/>
            <w:tcBorders>
              <w:left w:val="single" w:color="auto" w:sz="4" w:space="0"/>
              <w:right w:val="single" w:color="auto" w:sz="6" w:space="0"/>
            </w:tcBorders>
            <w:vAlign w:val="center"/>
          </w:tcPr>
          <w:p>
            <w:pPr>
              <w:snapToGrid w:val="0"/>
              <w:spacing w:line="360" w:lineRule="auto"/>
              <w:ind w:right="-108"/>
              <w:jc w:val="center"/>
              <w:rPr>
                <w:rFonts w:ascii="宋体" w:hAnsi="宋体"/>
                <w:sz w:val="24"/>
              </w:rPr>
            </w:pPr>
            <w:r>
              <w:rPr>
                <w:rFonts w:hint="eastAsia" w:ascii="宋体" w:hAnsi="宋体"/>
                <w:sz w:val="24"/>
              </w:rPr>
              <w:t>部门主管</w:t>
            </w:r>
          </w:p>
          <w:p>
            <w:pPr>
              <w:snapToGrid w:val="0"/>
              <w:spacing w:line="360" w:lineRule="auto"/>
              <w:ind w:right="-108"/>
              <w:jc w:val="center"/>
              <w:rPr>
                <w:rFonts w:ascii="宋体" w:hAnsi="宋体"/>
                <w:sz w:val="24"/>
              </w:rPr>
            </w:pPr>
            <w:r>
              <w:rPr>
                <w:rFonts w:hint="eastAsia" w:ascii="宋体" w:hAnsi="宋体"/>
                <w:sz w:val="24"/>
              </w:rPr>
              <w:t>意见</w:t>
            </w:r>
          </w:p>
        </w:tc>
        <w:tc>
          <w:tcPr>
            <w:tcW w:w="6799"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614" w:type="dxa"/>
            <w:tcBorders>
              <w:left w:val="single" w:color="auto" w:sz="4" w:space="0"/>
              <w:right w:val="single" w:color="auto" w:sz="6" w:space="0"/>
            </w:tcBorders>
            <w:vAlign w:val="center"/>
          </w:tcPr>
          <w:p>
            <w:pPr>
              <w:snapToGrid w:val="0"/>
              <w:spacing w:line="360" w:lineRule="auto"/>
              <w:ind w:right="-108"/>
              <w:jc w:val="center"/>
              <w:rPr>
                <w:rFonts w:ascii="宋体" w:hAnsi="宋体"/>
                <w:sz w:val="24"/>
              </w:rPr>
            </w:pPr>
            <w:r>
              <w:rPr>
                <w:rFonts w:hint="eastAsia" w:ascii="宋体" w:hAnsi="宋体"/>
                <w:sz w:val="24"/>
              </w:rPr>
              <w:t>基金会</w:t>
            </w:r>
          </w:p>
          <w:p>
            <w:pPr>
              <w:snapToGrid w:val="0"/>
              <w:spacing w:line="360" w:lineRule="auto"/>
              <w:ind w:right="-108"/>
              <w:jc w:val="center"/>
              <w:rPr>
                <w:rFonts w:ascii="宋体" w:hAnsi="宋体"/>
                <w:sz w:val="24"/>
              </w:rPr>
            </w:pPr>
            <w:r>
              <w:rPr>
                <w:rFonts w:hint="eastAsia" w:ascii="宋体" w:hAnsi="宋体"/>
                <w:sz w:val="24"/>
              </w:rPr>
              <w:t>领导意见</w:t>
            </w:r>
          </w:p>
        </w:tc>
        <w:tc>
          <w:tcPr>
            <w:tcW w:w="6799" w:type="dxa"/>
            <w:gridSpan w:val="3"/>
            <w:tcBorders>
              <w:top w:val="single" w:color="auto" w:sz="4" w:space="0"/>
              <w:left w:val="single" w:color="auto" w:sz="6" w:space="0"/>
              <w:right w:val="single" w:color="auto" w:sz="4" w:space="0"/>
            </w:tcBorders>
          </w:tcPr>
          <w:p>
            <w:pPr>
              <w:spacing w:line="360" w:lineRule="auto"/>
              <w:ind w:right="318"/>
              <w:jc w:val="center"/>
              <w:rPr>
                <w:rFonts w:ascii="宋体" w:hAnsi="宋体"/>
                <w:bCs/>
                <w:sz w:val="24"/>
              </w:rPr>
            </w:pPr>
          </w:p>
        </w:tc>
      </w:tr>
    </w:tbl>
    <w:p>
      <w:pPr>
        <w:spacing w:line="360" w:lineRule="auto"/>
      </w:pPr>
    </w:p>
    <w:p>
      <w:pPr>
        <w:spacing w:line="360" w:lineRule="auto"/>
        <w:outlineLvl w:val="1"/>
        <w:rPr>
          <w:rFonts w:hint="eastAsia" w:asciiTheme="minorEastAsia" w:hAnsiTheme="minorEastAsia"/>
          <w:sz w:val="24"/>
          <w:szCs w:val="24"/>
        </w:rPr>
      </w:pPr>
      <w:bookmarkStart w:id="121" w:name="_Toc403829234"/>
    </w:p>
    <w:p>
      <w:pPr>
        <w:spacing w:line="360" w:lineRule="auto"/>
        <w:outlineLvl w:val="1"/>
        <w:rPr>
          <w:rFonts w:hint="eastAsia" w:asciiTheme="minorEastAsia" w:hAnsiTheme="minorEastAsia"/>
          <w:sz w:val="24"/>
          <w:szCs w:val="24"/>
        </w:rPr>
      </w:pPr>
    </w:p>
    <w:p>
      <w:pPr>
        <w:spacing w:line="360" w:lineRule="auto"/>
        <w:outlineLvl w:val="1"/>
        <w:rPr>
          <w:rFonts w:asciiTheme="minorEastAsia" w:hAnsiTheme="minorEastAsia"/>
          <w:sz w:val="24"/>
          <w:szCs w:val="24"/>
        </w:rPr>
      </w:pPr>
      <w:bookmarkStart w:id="122" w:name="_Toc10941"/>
      <w:r>
        <w:rPr>
          <w:rFonts w:hint="eastAsia" w:asciiTheme="minorEastAsia" w:hAnsiTheme="minorEastAsia"/>
          <w:sz w:val="24"/>
          <w:szCs w:val="24"/>
        </w:rPr>
        <w:t>附件19-1：《用人申请表》</w:t>
      </w:r>
      <w:bookmarkEnd w:id="121"/>
      <w:bookmarkEnd w:id="122"/>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基金会用人申请表</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6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01"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Cs/>
                <w:sz w:val="24"/>
              </w:rPr>
            </w:pPr>
            <w:r>
              <w:rPr>
                <w:rFonts w:hint="eastAsia" w:ascii="宋体" w:hAnsi="宋体"/>
                <w:bCs/>
                <w:kern w:val="0"/>
                <w:sz w:val="24"/>
              </w:rPr>
              <w:t>申请部门</w:t>
            </w:r>
          </w:p>
        </w:tc>
        <w:tc>
          <w:tcPr>
            <w:tcW w:w="6663" w:type="dxa"/>
            <w:tcBorders>
              <w:top w:val="single" w:color="auto" w:sz="6" w:space="0"/>
              <w:left w:val="single" w:color="auto" w:sz="6" w:space="0"/>
              <w:bottom w:val="single" w:color="auto" w:sz="4" w:space="0"/>
              <w:right w:val="single" w:color="auto" w:sz="4" w:space="0"/>
            </w:tcBorders>
            <w:vAlign w:val="center"/>
          </w:tcPr>
          <w:p>
            <w:pPr>
              <w:spacing w:line="360" w:lineRule="auto"/>
              <w:ind w:right="-10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01"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Cs/>
                <w:kern w:val="0"/>
                <w:sz w:val="24"/>
              </w:rPr>
            </w:pPr>
            <w:r>
              <w:rPr>
                <w:rFonts w:hint="eastAsia" w:ascii="宋体" w:hAnsi="宋体"/>
                <w:bCs/>
                <w:kern w:val="0"/>
                <w:sz w:val="24"/>
              </w:rPr>
              <w:t>申请时间</w:t>
            </w:r>
          </w:p>
        </w:tc>
        <w:tc>
          <w:tcPr>
            <w:tcW w:w="6663" w:type="dxa"/>
            <w:tcBorders>
              <w:top w:val="single" w:color="auto" w:sz="6" w:space="0"/>
              <w:left w:val="single" w:color="auto" w:sz="6" w:space="0"/>
              <w:bottom w:val="single" w:color="auto" w:sz="4" w:space="0"/>
              <w:right w:val="single" w:color="auto" w:sz="4" w:space="0"/>
            </w:tcBorders>
            <w:vAlign w:val="center"/>
          </w:tcPr>
          <w:p>
            <w:pPr>
              <w:spacing w:line="360" w:lineRule="auto"/>
              <w:ind w:right="-10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01"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Cs/>
                <w:kern w:val="0"/>
                <w:sz w:val="24"/>
              </w:rPr>
            </w:pPr>
            <w:r>
              <w:rPr>
                <w:rFonts w:hint="eastAsia" w:ascii="宋体" w:hAnsi="宋体"/>
                <w:bCs/>
                <w:kern w:val="0"/>
                <w:sz w:val="24"/>
              </w:rPr>
              <w:t>现有人员数量</w:t>
            </w:r>
          </w:p>
        </w:tc>
        <w:tc>
          <w:tcPr>
            <w:tcW w:w="6663" w:type="dxa"/>
            <w:tcBorders>
              <w:top w:val="single" w:color="auto" w:sz="6" w:space="0"/>
              <w:left w:val="single" w:color="auto" w:sz="6" w:space="0"/>
              <w:bottom w:val="single" w:color="auto" w:sz="4" w:space="0"/>
              <w:right w:val="single" w:color="auto" w:sz="4" w:space="0"/>
            </w:tcBorders>
          </w:tcPr>
          <w:p>
            <w:pPr>
              <w:spacing w:line="360" w:lineRule="auto"/>
              <w:ind w:right="-105"/>
              <w:jc w:val="center"/>
              <w:rPr>
                <w:rFonts w:ascii="宋体" w:hAnsi="宋体"/>
                <w:bCs/>
                <w:sz w:val="24"/>
              </w:rPr>
            </w:pPr>
            <w:r>
              <w:rPr>
                <w:rFonts w:hint="eastAsia" w:ascii="宋体" w:hAnsi="宋体"/>
                <w:bCs/>
                <w:sz w:val="24"/>
              </w:rPr>
              <w:t>○全职员工（  ）位 ○兼职员工（  ）位 ○志愿者（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01" w:type="dxa"/>
            <w:tcBorders>
              <w:top w:val="single" w:color="auto" w:sz="6" w:space="0"/>
              <w:left w:val="single" w:color="auto" w:sz="4" w:space="0"/>
              <w:bottom w:val="single" w:color="auto" w:sz="6" w:space="0"/>
              <w:right w:val="single" w:color="auto" w:sz="6" w:space="0"/>
            </w:tcBorders>
          </w:tcPr>
          <w:p>
            <w:pPr>
              <w:spacing w:line="360" w:lineRule="auto"/>
              <w:ind w:left="-105" w:leftChars="-50" w:right="-108"/>
              <w:jc w:val="center"/>
              <w:rPr>
                <w:rFonts w:ascii="宋体" w:hAnsi="宋体"/>
                <w:bCs/>
                <w:sz w:val="24"/>
              </w:rPr>
            </w:pPr>
            <w:r>
              <w:rPr>
                <w:rFonts w:hint="eastAsia" w:ascii="宋体" w:hAnsi="宋体"/>
                <w:bCs/>
                <w:sz w:val="24"/>
              </w:rPr>
              <w:t>申请招聘</w:t>
            </w:r>
          </w:p>
          <w:p>
            <w:pPr>
              <w:spacing w:line="360" w:lineRule="auto"/>
              <w:ind w:left="-105" w:leftChars="-50" w:right="-108"/>
              <w:jc w:val="center"/>
              <w:rPr>
                <w:rFonts w:ascii="宋体" w:hAnsi="宋体"/>
                <w:bCs/>
                <w:sz w:val="24"/>
              </w:rPr>
            </w:pPr>
            <w:r>
              <w:rPr>
                <w:rFonts w:hint="eastAsia" w:ascii="宋体" w:hAnsi="宋体"/>
                <w:bCs/>
                <w:sz w:val="24"/>
              </w:rPr>
              <w:t>人员类型及数量</w:t>
            </w:r>
          </w:p>
        </w:tc>
        <w:tc>
          <w:tcPr>
            <w:tcW w:w="6663" w:type="dxa"/>
            <w:tcBorders>
              <w:top w:val="single" w:color="auto" w:sz="6" w:space="0"/>
              <w:left w:val="single" w:color="auto" w:sz="6" w:space="0"/>
              <w:bottom w:val="single" w:color="auto" w:sz="4" w:space="0"/>
              <w:right w:val="single" w:color="auto" w:sz="4" w:space="0"/>
            </w:tcBorders>
            <w:vAlign w:val="center"/>
          </w:tcPr>
          <w:p>
            <w:pPr>
              <w:spacing w:line="360" w:lineRule="auto"/>
              <w:ind w:right="-108"/>
              <w:jc w:val="center"/>
              <w:rPr>
                <w:rFonts w:ascii="宋体" w:hAnsi="宋体"/>
                <w:bCs/>
                <w:sz w:val="24"/>
              </w:rPr>
            </w:pPr>
            <w:r>
              <w:rPr>
                <w:rFonts w:hint="eastAsia" w:ascii="宋体" w:hAnsi="宋体"/>
                <w:bCs/>
                <w:sz w:val="24"/>
              </w:rPr>
              <w:t>○全职员工（  ）位 ○兼职员工（  ）位 ○志愿者（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01" w:type="dxa"/>
            <w:tcBorders>
              <w:top w:val="single" w:color="auto" w:sz="6" w:space="0"/>
              <w:left w:val="single" w:color="auto" w:sz="4" w:space="0"/>
              <w:bottom w:val="single" w:color="auto" w:sz="6" w:space="0"/>
              <w:right w:val="single" w:color="auto" w:sz="6" w:space="0"/>
            </w:tcBorders>
          </w:tcPr>
          <w:p>
            <w:pPr>
              <w:spacing w:line="360" w:lineRule="auto"/>
              <w:ind w:left="-105" w:leftChars="-50" w:right="-108"/>
              <w:jc w:val="center"/>
              <w:rPr>
                <w:rFonts w:ascii="宋体" w:hAnsi="宋体"/>
                <w:bCs/>
                <w:sz w:val="24"/>
              </w:rPr>
            </w:pPr>
            <w:r>
              <w:rPr>
                <w:rFonts w:hint="eastAsia" w:ascii="宋体" w:hAnsi="宋体"/>
                <w:bCs/>
                <w:sz w:val="24"/>
              </w:rPr>
              <w:t>期望到岗时间</w:t>
            </w:r>
          </w:p>
        </w:tc>
        <w:tc>
          <w:tcPr>
            <w:tcW w:w="6663" w:type="dxa"/>
            <w:tcBorders>
              <w:top w:val="single" w:color="auto" w:sz="6" w:space="0"/>
              <w:left w:val="single" w:color="auto" w:sz="6" w:space="0"/>
              <w:bottom w:val="single" w:color="auto" w:sz="4" w:space="0"/>
              <w:right w:val="single" w:color="auto" w:sz="4" w:space="0"/>
            </w:tcBorders>
            <w:vAlign w:val="center"/>
          </w:tcPr>
          <w:p>
            <w:pPr>
              <w:spacing w:line="360" w:lineRule="auto"/>
              <w:ind w:right="-108"/>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9" w:hRule="atLeast"/>
        </w:trPr>
        <w:tc>
          <w:tcPr>
            <w:tcW w:w="1701"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Cs/>
                <w:sz w:val="24"/>
              </w:rPr>
            </w:pPr>
          </w:p>
          <w:p>
            <w:pPr>
              <w:spacing w:line="360" w:lineRule="auto"/>
              <w:ind w:left="-105" w:leftChars="-50" w:right="-105"/>
              <w:jc w:val="center"/>
              <w:rPr>
                <w:rFonts w:ascii="宋体" w:hAnsi="宋体"/>
                <w:bCs/>
                <w:sz w:val="24"/>
              </w:rPr>
            </w:pPr>
          </w:p>
          <w:p>
            <w:pPr>
              <w:spacing w:line="360" w:lineRule="auto"/>
              <w:ind w:left="-105" w:leftChars="-50" w:right="-105"/>
              <w:jc w:val="center"/>
              <w:rPr>
                <w:rFonts w:ascii="宋体" w:hAnsi="宋体"/>
                <w:bCs/>
                <w:sz w:val="24"/>
              </w:rPr>
            </w:pPr>
            <w:r>
              <w:rPr>
                <w:rFonts w:hint="eastAsia" w:ascii="宋体" w:hAnsi="宋体"/>
                <w:bCs/>
                <w:sz w:val="24"/>
              </w:rPr>
              <w:t>招聘人员</w:t>
            </w:r>
          </w:p>
          <w:p>
            <w:pPr>
              <w:spacing w:line="360" w:lineRule="auto"/>
              <w:ind w:left="-105" w:leftChars="-50" w:right="-105"/>
              <w:jc w:val="center"/>
              <w:rPr>
                <w:rFonts w:ascii="宋体" w:hAnsi="宋体"/>
                <w:bCs/>
                <w:sz w:val="24"/>
              </w:rPr>
            </w:pPr>
            <w:r>
              <w:rPr>
                <w:rFonts w:hint="eastAsia" w:ascii="宋体" w:hAnsi="宋体"/>
                <w:bCs/>
                <w:sz w:val="24"/>
              </w:rPr>
              <w:t>工作职责</w:t>
            </w:r>
          </w:p>
          <w:p>
            <w:pPr>
              <w:spacing w:line="360" w:lineRule="auto"/>
              <w:ind w:left="-105" w:leftChars="-50" w:right="-105"/>
              <w:jc w:val="center"/>
              <w:rPr>
                <w:rFonts w:ascii="宋体" w:hAnsi="宋体"/>
                <w:bCs/>
                <w:kern w:val="0"/>
                <w:sz w:val="24"/>
              </w:rPr>
            </w:pPr>
            <w:r>
              <w:rPr>
                <w:rFonts w:hint="eastAsia" w:ascii="宋体" w:hAnsi="宋体"/>
                <w:bCs/>
                <w:sz w:val="24"/>
              </w:rPr>
              <w:t>与工作内容</w:t>
            </w:r>
          </w:p>
        </w:tc>
        <w:tc>
          <w:tcPr>
            <w:tcW w:w="6663" w:type="dxa"/>
            <w:tcBorders>
              <w:top w:val="single" w:color="auto" w:sz="4" w:space="0"/>
              <w:left w:val="single" w:color="auto" w:sz="6" w:space="0"/>
              <w:bottom w:val="single" w:color="auto" w:sz="6" w:space="0"/>
              <w:right w:val="single" w:color="auto" w:sz="4" w:space="0"/>
            </w:tcBorders>
          </w:tcPr>
          <w:p>
            <w:pPr>
              <w:spacing w:line="360" w:lineRule="auto"/>
              <w:ind w:right="-105"/>
              <w:jc w:val="center"/>
              <w:rPr>
                <w:rFonts w:ascii="宋体" w:hAnsi="宋体"/>
                <w:bCs/>
                <w:sz w:val="24"/>
              </w:rPr>
            </w:pPr>
          </w:p>
          <w:p>
            <w:pPr>
              <w:spacing w:line="360" w:lineRule="auto"/>
              <w:ind w:right="-105"/>
              <w:jc w:val="center"/>
              <w:rPr>
                <w:rFonts w:ascii="宋体" w:hAnsi="宋体"/>
                <w:bCs/>
                <w:sz w:val="24"/>
              </w:rPr>
            </w:pPr>
          </w:p>
          <w:p>
            <w:pPr>
              <w:spacing w:line="360" w:lineRule="auto"/>
              <w:ind w:right="-105"/>
              <w:jc w:val="center"/>
              <w:rPr>
                <w:rFonts w:ascii="宋体" w:hAnsi="宋体"/>
                <w:bCs/>
                <w:sz w:val="24"/>
              </w:rPr>
            </w:pPr>
          </w:p>
          <w:p>
            <w:pPr>
              <w:spacing w:line="360" w:lineRule="auto"/>
              <w:ind w:right="-105"/>
              <w:jc w:val="center"/>
              <w:rPr>
                <w:rFonts w:ascii="宋体" w:hAnsi="宋体"/>
                <w:bCs/>
                <w:sz w:val="24"/>
              </w:rPr>
            </w:pPr>
          </w:p>
          <w:p>
            <w:pPr>
              <w:spacing w:line="360" w:lineRule="auto"/>
              <w:ind w:right="-105"/>
              <w:jc w:val="center"/>
              <w:rPr>
                <w:rFonts w:ascii="宋体" w:hAnsi="宋体"/>
                <w:bCs/>
                <w:sz w:val="24"/>
              </w:rPr>
            </w:pPr>
          </w:p>
          <w:p>
            <w:pPr>
              <w:spacing w:line="360" w:lineRule="auto"/>
              <w:ind w:right="-105"/>
              <w:jc w:val="center"/>
              <w:rPr>
                <w:rFonts w:ascii="宋体" w:hAnsi="宋体"/>
                <w:bCs/>
                <w:sz w:val="24"/>
              </w:rPr>
            </w:pPr>
          </w:p>
          <w:p>
            <w:pPr>
              <w:spacing w:line="360" w:lineRule="auto"/>
              <w:ind w:right="-105"/>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Cs/>
                <w:sz w:val="24"/>
              </w:rPr>
            </w:pPr>
            <w:r>
              <w:rPr>
                <w:rFonts w:hint="eastAsia" w:ascii="宋体" w:hAnsi="宋体"/>
                <w:bCs/>
                <w:sz w:val="24"/>
              </w:rPr>
              <w:t>申请部门负责人签字</w:t>
            </w:r>
          </w:p>
        </w:tc>
        <w:tc>
          <w:tcPr>
            <w:tcW w:w="6663" w:type="dxa"/>
            <w:tcBorders>
              <w:top w:val="single" w:color="auto" w:sz="4" w:space="0"/>
              <w:left w:val="single" w:color="auto" w:sz="6" w:space="0"/>
              <w:bottom w:val="single" w:color="auto" w:sz="6" w:space="0"/>
              <w:right w:val="single" w:color="auto" w:sz="4" w:space="0"/>
            </w:tcBorders>
          </w:tcPr>
          <w:p>
            <w:pPr>
              <w:spacing w:line="360" w:lineRule="auto"/>
              <w:ind w:right="-105"/>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Cs/>
                <w:sz w:val="24"/>
              </w:rPr>
            </w:pPr>
            <w:r>
              <w:rPr>
                <w:rFonts w:hint="eastAsia" w:ascii="宋体" w:hAnsi="宋体"/>
                <w:bCs/>
                <w:sz w:val="24"/>
              </w:rPr>
              <w:t>综合管理部</w:t>
            </w:r>
          </w:p>
          <w:p>
            <w:pPr>
              <w:spacing w:line="360" w:lineRule="auto"/>
              <w:ind w:left="-105" w:leftChars="-50" w:right="-105"/>
              <w:jc w:val="center"/>
              <w:rPr>
                <w:rFonts w:ascii="宋体" w:hAnsi="宋体"/>
                <w:bCs/>
                <w:sz w:val="24"/>
              </w:rPr>
            </w:pPr>
            <w:r>
              <w:rPr>
                <w:rFonts w:hint="eastAsia" w:ascii="宋体" w:hAnsi="宋体"/>
                <w:bCs/>
                <w:sz w:val="24"/>
              </w:rPr>
              <w:t>签字</w:t>
            </w:r>
          </w:p>
        </w:tc>
        <w:tc>
          <w:tcPr>
            <w:tcW w:w="6663" w:type="dxa"/>
            <w:tcBorders>
              <w:top w:val="single" w:color="auto" w:sz="4" w:space="0"/>
              <w:left w:val="single" w:color="auto" w:sz="6" w:space="0"/>
              <w:bottom w:val="single" w:color="auto" w:sz="6" w:space="0"/>
              <w:right w:val="single" w:color="auto" w:sz="4" w:space="0"/>
            </w:tcBorders>
          </w:tcPr>
          <w:p>
            <w:pPr>
              <w:spacing w:line="360" w:lineRule="auto"/>
              <w:ind w:right="-105"/>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6" w:space="0"/>
              <w:left w:val="single" w:color="auto" w:sz="4" w:space="0"/>
              <w:bottom w:val="single" w:color="auto" w:sz="6" w:space="0"/>
              <w:right w:val="single" w:color="auto" w:sz="6" w:space="0"/>
            </w:tcBorders>
          </w:tcPr>
          <w:p>
            <w:pPr>
              <w:spacing w:line="360" w:lineRule="auto"/>
              <w:ind w:left="-105" w:leftChars="-50" w:right="-105"/>
              <w:jc w:val="center"/>
              <w:rPr>
                <w:rFonts w:ascii="宋体" w:hAnsi="宋体"/>
                <w:bCs/>
                <w:sz w:val="24"/>
              </w:rPr>
            </w:pPr>
            <w:r>
              <w:rPr>
                <w:rFonts w:hint="eastAsia" w:ascii="宋体" w:hAnsi="宋体"/>
                <w:bCs/>
                <w:sz w:val="24"/>
              </w:rPr>
              <w:t>基金会领导</w:t>
            </w:r>
          </w:p>
          <w:p>
            <w:pPr>
              <w:spacing w:line="360" w:lineRule="auto"/>
              <w:ind w:left="-105" w:leftChars="-50" w:right="-105"/>
              <w:jc w:val="center"/>
              <w:rPr>
                <w:rFonts w:ascii="宋体" w:hAnsi="宋体"/>
                <w:bCs/>
                <w:sz w:val="24"/>
              </w:rPr>
            </w:pPr>
            <w:r>
              <w:rPr>
                <w:rFonts w:hint="eastAsia" w:ascii="宋体" w:hAnsi="宋体"/>
                <w:bCs/>
                <w:sz w:val="24"/>
              </w:rPr>
              <w:t>签字</w:t>
            </w:r>
          </w:p>
        </w:tc>
        <w:tc>
          <w:tcPr>
            <w:tcW w:w="6663" w:type="dxa"/>
            <w:tcBorders>
              <w:top w:val="single" w:color="auto" w:sz="4" w:space="0"/>
              <w:left w:val="single" w:color="auto" w:sz="6" w:space="0"/>
              <w:bottom w:val="single" w:color="auto" w:sz="6" w:space="0"/>
              <w:right w:val="single" w:color="auto" w:sz="4" w:space="0"/>
            </w:tcBorders>
          </w:tcPr>
          <w:p>
            <w:pPr>
              <w:spacing w:line="360" w:lineRule="auto"/>
              <w:ind w:right="-105"/>
              <w:jc w:val="center"/>
              <w:rPr>
                <w:rFonts w:ascii="宋体" w:hAnsi="宋体"/>
                <w:bCs/>
                <w:sz w:val="24"/>
              </w:rPr>
            </w:pPr>
          </w:p>
        </w:tc>
      </w:tr>
    </w:tbl>
    <w:p>
      <w:pPr>
        <w:widowControl/>
        <w:spacing w:line="360" w:lineRule="auto"/>
        <w:jc w:val="left"/>
        <w:rPr>
          <w:rFonts w:ascii="宋体" w:hAnsi="宋体" w:cs="宋体"/>
          <w:kern w:val="0"/>
          <w:sz w:val="24"/>
        </w:rPr>
      </w:pPr>
    </w:p>
    <w:p>
      <w:pPr>
        <w:widowControl/>
        <w:spacing w:line="360" w:lineRule="auto"/>
        <w:jc w:val="left"/>
        <w:rPr>
          <w:rFonts w:ascii="宋体" w:hAnsi="宋体" w:cs="宋体"/>
          <w:kern w:val="0"/>
          <w:sz w:val="24"/>
        </w:rPr>
      </w:pPr>
    </w:p>
    <w:p>
      <w:pPr>
        <w:widowControl/>
        <w:spacing w:line="360" w:lineRule="auto"/>
        <w:jc w:val="left"/>
        <w:rPr>
          <w:rFonts w:ascii="宋体" w:hAnsi="宋体" w:cs="宋体"/>
          <w:kern w:val="0"/>
          <w:sz w:val="24"/>
        </w:rPr>
      </w:pPr>
    </w:p>
    <w:p>
      <w:pPr>
        <w:spacing w:line="360" w:lineRule="auto"/>
        <w:outlineLvl w:val="1"/>
        <w:rPr>
          <w:rFonts w:asciiTheme="minorEastAsia" w:hAnsiTheme="minorEastAsia"/>
          <w:sz w:val="24"/>
          <w:szCs w:val="24"/>
        </w:rPr>
      </w:pPr>
      <w:bookmarkStart w:id="123" w:name="_Toc403829235"/>
      <w:bookmarkStart w:id="124" w:name="_Toc24922"/>
      <w:r>
        <w:rPr>
          <w:rFonts w:hint="eastAsia" w:asciiTheme="minorEastAsia" w:hAnsiTheme="minorEastAsia"/>
          <w:sz w:val="24"/>
          <w:szCs w:val="24"/>
        </w:rPr>
        <w:t>附件19-2：《面试评价表》</w:t>
      </w:r>
      <w:bookmarkEnd w:id="123"/>
      <w:bookmarkEnd w:id="124"/>
    </w:p>
    <w:tbl>
      <w:tblPr>
        <w:tblStyle w:val="9"/>
        <w:tblW w:w="8240" w:type="dxa"/>
        <w:jc w:val="center"/>
        <w:tblLayout w:type="fixed"/>
        <w:tblCellMar>
          <w:top w:w="0" w:type="dxa"/>
          <w:left w:w="108" w:type="dxa"/>
          <w:bottom w:w="0" w:type="dxa"/>
          <w:right w:w="108" w:type="dxa"/>
        </w:tblCellMar>
      </w:tblPr>
      <w:tblGrid>
        <w:gridCol w:w="1243"/>
        <w:gridCol w:w="2875"/>
        <w:gridCol w:w="4122"/>
      </w:tblGrid>
      <w:tr>
        <w:tblPrEx>
          <w:tblCellMar>
            <w:top w:w="0" w:type="dxa"/>
            <w:left w:w="108" w:type="dxa"/>
            <w:bottom w:w="0" w:type="dxa"/>
            <w:right w:w="108" w:type="dxa"/>
          </w:tblCellMar>
        </w:tblPrEx>
        <w:trPr>
          <w:trHeight w:val="1242" w:hRule="atLeast"/>
          <w:jc w:val="center"/>
        </w:trPr>
        <w:tc>
          <w:tcPr>
            <w:tcW w:w="8240" w:type="dxa"/>
            <w:gridSpan w:val="3"/>
            <w:tcBorders>
              <w:top w:val="nil"/>
              <w:left w:val="nil"/>
              <w:bottom w:val="nil"/>
              <w:right w:val="nil"/>
            </w:tcBorders>
            <w:shd w:val="clear" w:color="auto" w:fill="auto"/>
            <w:vAlign w:val="center"/>
          </w:tcPr>
          <w:p>
            <w:pPr>
              <w:spacing w:line="360" w:lineRule="auto"/>
              <w:jc w:val="center"/>
              <w:rPr>
                <w:rFonts w:ascii="黑体" w:hAnsi="宋体" w:eastAsia="黑体" w:cs="宋体"/>
                <w:b/>
                <w:bCs/>
                <w:kern w:val="0"/>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基金会面试评价表</w:t>
            </w:r>
          </w:p>
        </w:tc>
      </w:tr>
      <w:tr>
        <w:tblPrEx>
          <w:tblCellMar>
            <w:top w:w="0" w:type="dxa"/>
            <w:left w:w="108" w:type="dxa"/>
            <w:bottom w:w="0" w:type="dxa"/>
            <w:right w:w="108" w:type="dxa"/>
          </w:tblCellMar>
        </w:tblPrEx>
        <w:trPr>
          <w:trHeight w:val="285" w:hRule="atLeast"/>
          <w:jc w:val="center"/>
        </w:trPr>
        <w:tc>
          <w:tcPr>
            <w:tcW w:w="12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kern w:val="0"/>
                <w:sz w:val="24"/>
                <w:szCs w:val="24"/>
              </w:rPr>
            </w:pPr>
            <w:r>
              <w:rPr>
                <w:rFonts w:hint="eastAsia" w:ascii="宋体" w:hAnsi="宋体" w:cs="宋体"/>
                <w:b/>
                <w:kern w:val="0"/>
                <w:sz w:val="24"/>
                <w:szCs w:val="24"/>
              </w:rPr>
              <w:t>基本情况</w:t>
            </w:r>
          </w:p>
        </w:tc>
        <w:tc>
          <w:tcPr>
            <w:tcW w:w="287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应聘职位</w:t>
            </w:r>
          </w:p>
        </w:tc>
        <w:tc>
          <w:tcPr>
            <w:tcW w:w="4122"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85"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综合评分</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85"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姓名</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85"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年龄</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85"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教育背景</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85"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英语</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85"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工作经历</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85"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85"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85"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优势</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85"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285"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300" w:hRule="atLeast"/>
          <w:jc w:val="center"/>
        </w:trPr>
        <w:tc>
          <w:tcPr>
            <w:tcW w:w="8240" w:type="dxa"/>
            <w:gridSpan w:val="3"/>
            <w:tcBorders>
              <w:top w:val="nil"/>
              <w:left w:val="nil"/>
              <w:bottom w:val="nil"/>
              <w:right w:val="nil"/>
            </w:tcBorders>
            <w:shd w:val="clear" w:color="000000" w:fill="C0C0C0"/>
            <w:vAlign w:val="center"/>
          </w:tcPr>
          <w:p>
            <w:pPr>
              <w:widowControl/>
              <w:jc w:val="center"/>
              <w:rPr>
                <w:rFonts w:ascii="Calibri" w:hAnsi="Calibri" w:cs="Calibri"/>
                <w:kern w:val="0"/>
                <w:sz w:val="24"/>
                <w:szCs w:val="24"/>
              </w:rPr>
            </w:pPr>
            <w:r>
              <w:rPr>
                <w:rFonts w:ascii="Calibri" w:hAnsi="Calibri" w:cs="Calibri"/>
                <w:kern w:val="0"/>
                <w:sz w:val="24"/>
                <w:szCs w:val="24"/>
              </w:rPr>
              <w:t>　</w:t>
            </w:r>
          </w:p>
        </w:tc>
      </w:tr>
      <w:tr>
        <w:tblPrEx>
          <w:tblCellMar>
            <w:top w:w="0" w:type="dxa"/>
            <w:left w:w="108" w:type="dxa"/>
            <w:bottom w:w="0" w:type="dxa"/>
            <w:right w:w="108" w:type="dxa"/>
          </w:tblCellMar>
        </w:tblPrEx>
        <w:trPr>
          <w:trHeight w:val="792" w:hRule="atLeast"/>
          <w:jc w:val="center"/>
        </w:trPr>
        <w:tc>
          <w:tcPr>
            <w:tcW w:w="12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kern w:val="0"/>
                <w:sz w:val="24"/>
                <w:szCs w:val="24"/>
              </w:rPr>
            </w:pPr>
            <w:r>
              <w:rPr>
                <w:rFonts w:hint="eastAsia" w:ascii="宋体" w:hAnsi="宋体" w:cs="宋体"/>
                <w:b/>
                <w:kern w:val="0"/>
                <w:sz w:val="24"/>
                <w:szCs w:val="24"/>
              </w:rPr>
              <w:t>面试评价</w:t>
            </w:r>
          </w:p>
        </w:tc>
        <w:tc>
          <w:tcPr>
            <w:tcW w:w="287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Calibri" w:hAnsi="Calibri" w:cs="Calibri"/>
                <w:kern w:val="0"/>
                <w:sz w:val="24"/>
                <w:szCs w:val="24"/>
              </w:rPr>
            </w:pPr>
            <w:r>
              <w:rPr>
                <w:rFonts w:ascii="Calibri" w:hAnsi="Calibri" w:cs="Calibri"/>
                <w:kern w:val="0"/>
                <w:sz w:val="24"/>
                <w:szCs w:val="24"/>
              </w:rPr>
              <w:t>1</w:t>
            </w:r>
            <w:r>
              <w:rPr>
                <w:rFonts w:hint="eastAsia" w:ascii="宋体" w:hAnsi="宋体" w:cs="Calibri"/>
                <w:kern w:val="0"/>
                <w:sz w:val="24"/>
                <w:szCs w:val="24"/>
              </w:rPr>
              <w:t>、相关工作经历，特别是项目管理管理经验</w:t>
            </w:r>
          </w:p>
        </w:tc>
        <w:tc>
          <w:tcPr>
            <w:tcW w:w="4122"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743"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tcBorders>
              <w:top w:val="nil"/>
              <w:left w:val="nil"/>
              <w:bottom w:val="single" w:color="auto" w:sz="4" w:space="0"/>
              <w:right w:val="single" w:color="auto" w:sz="4" w:space="0"/>
            </w:tcBorders>
            <w:shd w:val="clear" w:color="auto" w:fill="auto"/>
            <w:vAlign w:val="center"/>
          </w:tcPr>
          <w:p>
            <w:pPr>
              <w:widowControl/>
              <w:jc w:val="left"/>
              <w:rPr>
                <w:rFonts w:ascii="Calibri" w:hAnsi="Calibri" w:cs="Calibri"/>
                <w:kern w:val="0"/>
                <w:sz w:val="24"/>
                <w:szCs w:val="24"/>
              </w:rPr>
            </w:pPr>
            <w:r>
              <w:rPr>
                <w:rFonts w:ascii="Calibri" w:hAnsi="Calibri" w:cs="Calibri"/>
                <w:kern w:val="0"/>
                <w:sz w:val="24"/>
                <w:szCs w:val="24"/>
              </w:rPr>
              <w:t>2</w:t>
            </w:r>
            <w:r>
              <w:rPr>
                <w:rFonts w:hint="eastAsia" w:ascii="宋体" w:hAnsi="宋体" w:cs="Calibri"/>
                <w:kern w:val="0"/>
                <w:sz w:val="24"/>
                <w:szCs w:val="24"/>
              </w:rPr>
              <w:t>、相关专业知识及培训，对公益岗位的理解</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792"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tcBorders>
              <w:top w:val="nil"/>
              <w:left w:val="nil"/>
              <w:bottom w:val="single" w:color="auto" w:sz="4" w:space="0"/>
              <w:right w:val="single" w:color="auto" w:sz="4" w:space="0"/>
            </w:tcBorders>
            <w:shd w:val="clear" w:color="auto" w:fill="auto"/>
            <w:vAlign w:val="center"/>
          </w:tcPr>
          <w:p>
            <w:pPr>
              <w:widowControl/>
              <w:jc w:val="left"/>
              <w:rPr>
                <w:rFonts w:ascii="Calibri" w:hAnsi="Calibri" w:cs="Calibri"/>
                <w:kern w:val="0"/>
                <w:sz w:val="24"/>
                <w:szCs w:val="24"/>
              </w:rPr>
            </w:pPr>
            <w:r>
              <w:rPr>
                <w:rFonts w:ascii="Calibri" w:hAnsi="Calibri" w:cs="Calibri"/>
                <w:kern w:val="0"/>
                <w:sz w:val="24"/>
                <w:szCs w:val="24"/>
              </w:rPr>
              <w:t>3</w:t>
            </w:r>
            <w:r>
              <w:rPr>
                <w:rFonts w:hint="eastAsia" w:ascii="宋体" w:hAnsi="宋体" w:cs="Calibri"/>
                <w:kern w:val="0"/>
                <w:sz w:val="24"/>
                <w:szCs w:val="24"/>
              </w:rPr>
              <w:t>、语言表达、逻辑思维及组织协调能力</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672"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tcBorders>
              <w:top w:val="nil"/>
              <w:left w:val="nil"/>
              <w:bottom w:val="single" w:color="auto" w:sz="4" w:space="0"/>
              <w:right w:val="single" w:color="auto" w:sz="4" w:space="0"/>
            </w:tcBorders>
            <w:shd w:val="clear" w:color="auto" w:fill="auto"/>
            <w:vAlign w:val="center"/>
          </w:tcPr>
          <w:p>
            <w:pPr>
              <w:widowControl/>
              <w:jc w:val="left"/>
              <w:rPr>
                <w:rFonts w:ascii="Calibri" w:hAnsi="Calibri" w:cs="Calibri"/>
                <w:kern w:val="0"/>
                <w:sz w:val="24"/>
                <w:szCs w:val="24"/>
              </w:rPr>
            </w:pPr>
            <w:r>
              <w:rPr>
                <w:rFonts w:ascii="Calibri" w:hAnsi="Calibri" w:cs="Calibri"/>
                <w:kern w:val="0"/>
                <w:sz w:val="24"/>
                <w:szCs w:val="24"/>
              </w:rPr>
              <w:t>4</w:t>
            </w:r>
            <w:r>
              <w:rPr>
                <w:rFonts w:hint="eastAsia" w:ascii="宋体" w:hAnsi="宋体" w:cs="Calibri"/>
                <w:kern w:val="0"/>
                <w:sz w:val="24"/>
                <w:szCs w:val="24"/>
              </w:rPr>
              <w:t>、外语、计算机及其他技能</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518"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tcBorders>
              <w:top w:val="nil"/>
              <w:left w:val="nil"/>
              <w:bottom w:val="single" w:color="auto" w:sz="4" w:space="0"/>
              <w:right w:val="single" w:color="auto" w:sz="4" w:space="0"/>
            </w:tcBorders>
            <w:shd w:val="clear" w:color="auto" w:fill="auto"/>
            <w:vAlign w:val="center"/>
          </w:tcPr>
          <w:p>
            <w:pPr>
              <w:widowControl/>
              <w:jc w:val="left"/>
              <w:rPr>
                <w:rFonts w:ascii="Calibri" w:hAnsi="Calibri" w:cs="Calibri"/>
                <w:kern w:val="0"/>
                <w:sz w:val="24"/>
                <w:szCs w:val="24"/>
              </w:rPr>
            </w:pPr>
            <w:r>
              <w:rPr>
                <w:rFonts w:ascii="Calibri" w:hAnsi="Calibri" w:cs="Calibri"/>
                <w:kern w:val="0"/>
                <w:sz w:val="24"/>
                <w:szCs w:val="24"/>
              </w:rPr>
              <w:t>5</w:t>
            </w:r>
            <w:r>
              <w:rPr>
                <w:rFonts w:hint="eastAsia" w:ascii="宋体" w:hAnsi="宋体" w:cs="Calibri"/>
                <w:kern w:val="0"/>
                <w:sz w:val="24"/>
                <w:szCs w:val="24"/>
              </w:rPr>
              <w:t>、品德及团队合作</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465"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tcBorders>
              <w:top w:val="nil"/>
              <w:left w:val="nil"/>
              <w:bottom w:val="single" w:color="auto" w:sz="4" w:space="0"/>
              <w:right w:val="single" w:color="auto" w:sz="4" w:space="0"/>
            </w:tcBorders>
            <w:shd w:val="clear" w:color="auto" w:fill="auto"/>
            <w:vAlign w:val="center"/>
          </w:tcPr>
          <w:p>
            <w:pPr>
              <w:widowControl/>
              <w:jc w:val="left"/>
              <w:rPr>
                <w:rFonts w:ascii="Calibri" w:hAnsi="Calibri" w:cs="Calibri"/>
                <w:kern w:val="0"/>
                <w:sz w:val="24"/>
                <w:szCs w:val="24"/>
              </w:rPr>
            </w:pPr>
            <w:r>
              <w:rPr>
                <w:rFonts w:ascii="Calibri" w:hAnsi="Calibri" w:cs="Calibri"/>
                <w:kern w:val="0"/>
                <w:sz w:val="24"/>
                <w:szCs w:val="24"/>
              </w:rPr>
              <w:t>6</w:t>
            </w:r>
            <w:r>
              <w:rPr>
                <w:rFonts w:hint="eastAsia" w:ascii="宋体" w:hAnsi="宋体" w:cs="Calibri"/>
                <w:kern w:val="0"/>
                <w:sz w:val="24"/>
                <w:szCs w:val="24"/>
              </w:rPr>
              <w:t>、个人特长及优势</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Calibri" w:hAnsi="Calibri" w:cs="Calibri"/>
                <w:kern w:val="0"/>
                <w:sz w:val="24"/>
                <w:szCs w:val="24"/>
              </w:rPr>
            </w:pPr>
            <w:r>
              <w:rPr>
                <w:rFonts w:ascii="Calibri" w:hAnsi="Calibri" w:cs="Calibri"/>
                <w:kern w:val="0"/>
                <w:sz w:val="24"/>
                <w:szCs w:val="24"/>
              </w:rPr>
              <w:t>　</w:t>
            </w:r>
          </w:p>
        </w:tc>
      </w:tr>
      <w:tr>
        <w:tblPrEx>
          <w:tblCellMar>
            <w:top w:w="0" w:type="dxa"/>
            <w:left w:w="108" w:type="dxa"/>
            <w:bottom w:w="0" w:type="dxa"/>
            <w:right w:w="108" w:type="dxa"/>
          </w:tblCellMar>
        </w:tblPrEx>
        <w:trPr>
          <w:trHeight w:val="510"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tcBorders>
              <w:top w:val="nil"/>
              <w:left w:val="nil"/>
              <w:bottom w:val="single" w:color="auto" w:sz="4" w:space="0"/>
              <w:right w:val="single" w:color="auto" w:sz="4" w:space="0"/>
            </w:tcBorders>
            <w:shd w:val="clear" w:color="auto" w:fill="auto"/>
            <w:vAlign w:val="center"/>
          </w:tcPr>
          <w:p>
            <w:pPr>
              <w:widowControl/>
              <w:jc w:val="left"/>
              <w:rPr>
                <w:rFonts w:ascii="Calibri" w:hAnsi="Calibri" w:cs="Calibri"/>
                <w:kern w:val="0"/>
                <w:sz w:val="24"/>
                <w:szCs w:val="24"/>
              </w:rPr>
            </w:pPr>
            <w:r>
              <w:rPr>
                <w:rFonts w:ascii="Calibri" w:hAnsi="Calibri" w:cs="Calibri"/>
                <w:kern w:val="0"/>
                <w:sz w:val="24"/>
                <w:szCs w:val="24"/>
              </w:rPr>
              <w:t>7</w:t>
            </w:r>
            <w:r>
              <w:rPr>
                <w:rFonts w:hint="eastAsia" w:ascii="宋体" w:hAnsi="宋体" w:cs="Calibri"/>
                <w:kern w:val="0"/>
                <w:sz w:val="24"/>
                <w:szCs w:val="24"/>
              </w:rPr>
              <w:t>、个人要求及其他</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Calibri" w:hAnsi="Calibri" w:cs="Calibri"/>
                <w:kern w:val="0"/>
                <w:sz w:val="24"/>
                <w:szCs w:val="24"/>
              </w:rPr>
            </w:pPr>
            <w:r>
              <w:rPr>
                <w:rFonts w:ascii="Calibri" w:hAnsi="Calibri" w:cs="Calibri"/>
                <w:kern w:val="0"/>
                <w:sz w:val="24"/>
                <w:szCs w:val="24"/>
              </w:rPr>
              <w:t>　</w:t>
            </w:r>
          </w:p>
        </w:tc>
      </w:tr>
      <w:tr>
        <w:tblPrEx>
          <w:tblCellMar>
            <w:top w:w="0" w:type="dxa"/>
            <w:left w:w="108" w:type="dxa"/>
            <w:bottom w:w="0" w:type="dxa"/>
            <w:right w:w="108" w:type="dxa"/>
          </w:tblCellMar>
        </w:tblPrEx>
        <w:trPr>
          <w:trHeight w:val="390"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tcBorders>
              <w:top w:val="nil"/>
              <w:left w:val="nil"/>
              <w:bottom w:val="single" w:color="auto" w:sz="4" w:space="0"/>
              <w:right w:val="single" w:color="auto" w:sz="4" w:space="0"/>
            </w:tcBorders>
            <w:shd w:val="clear" w:color="auto" w:fill="auto"/>
            <w:vAlign w:val="center"/>
          </w:tcPr>
          <w:p>
            <w:pPr>
              <w:widowControl/>
              <w:jc w:val="left"/>
              <w:rPr>
                <w:rFonts w:ascii="Calibri" w:hAnsi="Calibri" w:cs="Calibri"/>
                <w:kern w:val="0"/>
                <w:sz w:val="24"/>
                <w:szCs w:val="24"/>
              </w:rPr>
            </w:pPr>
            <w:r>
              <w:rPr>
                <w:rFonts w:ascii="Calibri" w:hAnsi="Calibri" w:cs="Calibri"/>
                <w:kern w:val="0"/>
                <w:sz w:val="24"/>
                <w:szCs w:val="24"/>
              </w:rPr>
              <w:t>8</w:t>
            </w:r>
            <w:r>
              <w:rPr>
                <w:rFonts w:hint="eastAsia" w:ascii="宋体" w:hAnsi="宋体" w:cs="Calibri"/>
                <w:kern w:val="0"/>
                <w:sz w:val="24"/>
                <w:szCs w:val="24"/>
              </w:rPr>
              <w:t>、其他：</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705"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2875" w:type="dxa"/>
            <w:tcBorders>
              <w:top w:val="nil"/>
              <w:left w:val="nil"/>
              <w:bottom w:val="single" w:color="auto" w:sz="4" w:space="0"/>
              <w:right w:val="single" w:color="auto" w:sz="4" w:space="0"/>
            </w:tcBorders>
            <w:shd w:val="clear" w:color="auto" w:fill="auto"/>
            <w:vAlign w:val="center"/>
          </w:tcPr>
          <w:p>
            <w:pPr>
              <w:widowControl/>
              <w:jc w:val="left"/>
              <w:rPr>
                <w:rFonts w:ascii="Calibri" w:hAnsi="Calibri" w:cs="Calibri"/>
                <w:kern w:val="0"/>
                <w:sz w:val="24"/>
                <w:szCs w:val="24"/>
              </w:rPr>
            </w:pPr>
            <w:r>
              <w:rPr>
                <w:rFonts w:ascii="Calibri" w:hAnsi="Calibri" w:cs="Calibri"/>
                <w:kern w:val="0"/>
                <w:sz w:val="24"/>
                <w:szCs w:val="24"/>
              </w:rPr>
              <w:t>8</w:t>
            </w:r>
            <w:r>
              <w:rPr>
                <w:rFonts w:hint="eastAsia" w:ascii="宋体" w:hAnsi="宋体" w:cs="Calibri"/>
                <w:kern w:val="0"/>
                <w:sz w:val="24"/>
                <w:szCs w:val="24"/>
              </w:rPr>
              <w:t>、面试综合评价</w:t>
            </w:r>
          </w:p>
        </w:tc>
        <w:tc>
          <w:tcPr>
            <w:tcW w:w="4122" w:type="dxa"/>
            <w:tcBorders>
              <w:top w:val="nil"/>
              <w:left w:val="nil"/>
              <w:bottom w:val="single" w:color="auto" w:sz="4" w:space="0"/>
              <w:right w:val="single" w:color="auto" w:sz="4" w:space="0"/>
            </w:tcBorders>
            <w:shd w:val="clear" w:color="auto" w:fill="auto"/>
            <w:vAlign w:val="center"/>
          </w:tcPr>
          <w:p>
            <w:pPr>
              <w:widowControl/>
              <w:jc w:val="left"/>
              <w:rPr>
                <w:rFonts w:ascii="Calibri" w:hAnsi="Calibri" w:cs="Calibri"/>
                <w:kern w:val="0"/>
                <w:sz w:val="24"/>
                <w:szCs w:val="24"/>
              </w:rPr>
            </w:pPr>
            <w:r>
              <w:rPr>
                <w:rFonts w:ascii="Calibri" w:hAnsi="Calibri" w:cs="Calibri"/>
                <w:kern w:val="0"/>
                <w:sz w:val="24"/>
                <w:szCs w:val="24"/>
              </w:rPr>
              <w:t>　</w:t>
            </w:r>
          </w:p>
        </w:tc>
      </w:tr>
    </w:tbl>
    <w:p>
      <w:pPr>
        <w:widowControl/>
        <w:spacing w:line="360" w:lineRule="auto"/>
        <w:jc w:val="left"/>
        <w:rPr>
          <w:rFonts w:ascii="宋体" w:hAnsi="宋体" w:cs="宋体"/>
          <w:kern w:val="0"/>
          <w:sz w:val="22"/>
        </w:rPr>
      </w:pPr>
    </w:p>
    <w:p>
      <w:pPr>
        <w:widowControl/>
        <w:spacing w:line="360" w:lineRule="auto"/>
        <w:jc w:val="left"/>
        <w:rPr>
          <w:rFonts w:ascii="宋体" w:hAnsi="宋体" w:cs="宋体"/>
          <w:kern w:val="0"/>
          <w:sz w:val="22"/>
        </w:rPr>
      </w:pPr>
    </w:p>
    <w:p>
      <w:pPr>
        <w:widowControl/>
        <w:spacing w:line="360" w:lineRule="auto"/>
        <w:jc w:val="left"/>
        <w:rPr>
          <w:rFonts w:ascii="宋体" w:hAnsi="宋体" w:cs="宋体"/>
          <w:kern w:val="0"/>
          <w:sz w:val="22"/>
        </w:rPr>
      </w:pPr>
    </w:p>
    <w:p>
      <w:pPr>
        <w:widowControl/>
        <w:spacing w:line="360" w:lineRule="auto"/>
        <w:jc w:val="left"/>
        <w:rPr>
          <w:rFonts w:ascii="宋体" w:hAnsi="宋体" w:cs="宋体"/>
          <w:kern w:val="0"/>
          <w:sz w:val="22"/>
        </w:rPr>
      </w:pPr>
    </w:p>
    <w:p>
      <w:pPr>
        <w:widowControl/>
        <w:spacing w:line="360" w:lineRule="auto"/>
        <w:jc w:val="left"/>
        <w:rPr>
          <w:rFonts w:ascii="宋体" w:hAnsi="宋体" w:cs="宋体"/>
          <w:kern w:val="0"/>
          <w:sz w:val="22"/>
        </w:rPr>
      </w:pPr>
    </w:p>
    <w:p>
      <w:pPr>
        <w:spacing w:line="360" w:lineRule="auto"/>
        <w:outlineLvl w:val="1"/>
        <w:rPr>
          <w:rFonts w:asciiTheme="minorEastAsia" w:hAnsiTheme="minorEastAsia"/>
          <w:sz w:val="24"/>
          <w:szCs w:val="24"/>
        </w:rPr>
      </w:pPr>
      <w:bookmarkStart w:id="125" w:name="_Toc403829236"/>
      <w:bookmarkStart w:id="126" w:name="_Toc13666"/>
      <w:r>
        <w:rPr>
          <w:rFonts w:hint="eastAsia" w:asciiTheme="minorEastAsia" w:hAnsiTheme="minorEastAsia"/>
          <w:sz w:val="24"/>
          <w:szCs w:val="24"/>
        </w:rPr>
        <w:t>附件19-3：《面试评分表》</w:t>
      </w:r>
      <w:bookmarkEnd w:id="125"/>
      <w:bookmarkEnd w:id="126"/>
    </w:p>
    <w:tbl>
      <w:tblPr>
        <w:tblStyle w:val="9"/>
        <w:tblW w:w="8321" w:type="dxa"/>
        <w:jc w:val="center"/>
        <w:tblLayout w:type="fixed"/>
        <w:tblCellMar>
          <w:top w:w="0" w:type="dxa"/>
          <w:left w:w="108" w:type="dxa"/>
          <w:bottom w:w="0" w:type="dxa"/>
          <w:right w:w="108" w:type="dxa"/>
        </w:tblCellMar>
      </w:tblPr>
      <w:tblGrid>
        <w:gridCol w:w="1653"/>
        <w:gridCol w:w="2960"/>
        <w:gridCol w:w="1660"/>
        <w:gridCol w:w="2048"/>
      </w:tblGrid>
      <w:tr>
        <w:tblPrEx>
          <w:tblCellMar>
            <w:top w:w="0" w:type="dxa"/>
            <w:left w:w="108" w:type="dxa"/>
            <w:bottom w:w="0" w:type="dxa"/>
            <w:right w:w="108" w:type="dxa"/>
          </w:tblCellMar>
        </w:tblPrEx>
        <w:trPr>
          <w:trHeight w:val="405" w:hRule="atLeast"/>
          <w:jc w:val="center"/>
        </w:trPr>
        <w:tc>
          <w:tcPr>
            <w:tcW w:w="8321" w:type="dxa"/>
            <w:gridSpan w:val="4"/>
            <w:tcBorders>
              <w:top w:val="nil"/>
              <w:left w:val="nil"/>
              <w:bottom w:val="single" w:color="auto" w:sz="4" w:space="0"/>
              <w:right w:val="nil"/>
            </w:tcBorders>
            <w:shd w:val="clear" w:color="auto" w:fill="auto"/>
            <w:vAlign w:val="center"/>
          </w:tcPr>
          <w:p>
            <w:pPr>
              <w:spacing w:line="360" w:lineRule="auto"/>
              <w:jc w:val="center"/>
              <w:rPr>
                <w:rFonts w:ascii="黑体" w:hAnsi="宋体" w:eastAsia="黑体" w:cs="宋体"/>
                <w:b/>
                <w:bCs/>
                <w:kern w:val="0"/>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基金会面试评分表</w:t>
            </w:r>
          </w:p>
        </w:tc>
      </w:tr>
      <w:tr>
        <w:tblPrEx>
          <w:tblCellMar>
            <w:top w:w="0" w:type="dxa"/>
            <w:left w:w="108" w:type="dxa"/>
            <w:bottom w:w="0" w:type="dxa"/>
            <w:right w:w="108" w:type="dxa"/>
          </w:tblCellMar>
        </w:tblPrEx>
        <w:trPr>
          <w:trHeight w:val="285" w:hRule="atLeast"/>
          <w:jc w:val="center"/>
        </w:trPr>
        <w:tc>
          <w:tcPr>
            <w:tcW w:w="1653"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kern w:val="0"/>
                <w:sz w:val="24"/>
              </w:rPr>
            </w:pPr>
            <w:r>
              <w:rPr>
                <w:rFonts w:hint="eastAsia" w:ascii="宋体" w:hAnsi="宋体" w:cs="宋体"/>
                <w:b/>
                <w:kern w:val="0"/>
                <w:sz w:val="24"/>
              </w:rPr>
              <w:t>基本</w:t>
            </w:r>
          </w:p>
          <w:p>
            <w:pPr>
              <w:widowControl/>
              <w:jc w:val="center"/>
              <w:rPr>
                <w:rFonts w:ascii="宋体" w:hAnsi="宋体" w:cs="宋体"/>
                <w:kern w:val="0"/>
                <w:sz w:val="24"/>
              </w:rPr>
            </w:pPr>
            <w:r>
              <w:rPr>
                <w:rFonts w:hint="eastAsia" w:ascii="宋体" w:hAnsi="宋体" w:cs="宋体"/>
                <w:b/>
                <w:kern w:val="0"/>
                <w:sz w:val="24"/>
              </w:rPr>
              <w:t>情况</w:t>
            </w: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排名</w:t>
            </w:r>
          </w:p>
        </w:tc>
        <w:tc>
          <w:tcPr>
            <w:tcW w:w="1660" w:type="dxa"/>
            <w:tcBorders>
              <w:top w:val="nil"/>
              <w:left w:val="nil"/>
              <w:bottom w:val="single" w:color="auto" w:sz="4" w:space="0"/>
              <w:right w:val="nil"/>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204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2</w:t>
            </w:r>
          </w:p>
        </w:tc>
      </w:tr>
      <w:tr>
        <w:tblPrEx>
          <w:tblCellMar>
            <w:top w:w="0" w:type="dxa"/>
            <w:left w:w="108" w:type="dxa"/>
            <w:bottom w:w="0" w:type="dxa"/>
            <w:right w:w="108" w:type="dxa"/>
          </w:tblCellMar>
        </w:tblPrEx>
        <w:trPr>
          <w:trHeight w:val="285" w:hRule="atLeast"/>
          <w:jc w:val="center"/>
        </w:trPr>
        <w:tc>
          <w:tcPr>
            <w:tcW w:w="16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姓名</w:t>
            </w:r>
          </w:p>
        </w:tc>
        <w:tc>
          <w:tcPr>
            <w:tcW w:w="1660" w:type="dxa"/>
            <w:tcBorders>
              <w:top w:val="nil"/>
              <w:left w:val="nil"/>
              <w:bottom w:val="single" w:color="auto" w:sz="4" w:space="0"/>
              <w:right w:val="nil"/>
            </w:tcBorders>
            <w:shd w:val="clear" w:color="000000" w:fill="FFFFFF"/>
            <w:vAlign w:val="center"/>
          </w:tcPr>
          <w:p>
            <w:pPr>
              <w:widowControl/>
              <w:jc w:val="center"/>
              <w:rPr>
                <w:rFonts w:ascii="宋体" w:hAnsi="宋体" w:cs="宋体"/>
                <w:b/>
                <w:bCs/>
                <w:kern w:val="0"/>
                <w:sz w:val="24"/>
              </w:rPr>
            </w:pPr>
            <w:r>
              <w:rPr>
                <w:rFonts w:hint="eastAsia" w:ascii="宋体" w:hAnsi="宋体" w:cs="宋体"/>
                <w:b/>
                <w:bCs/>
                <w:kern w:val="0"/>
                <w:sz w:val="24"/>
              </w:rPr>
              <w:t>　</w:t>
            </w:r>
          </w:p>
        </w:tc>
        <w:tc>
          <w:tcPr>
            <w:tcW w:w="204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4"/>
              </w:rPr>
            </w:pPr>
            <w:r>
              <w:rPr>
                <w:rFonts w:hint="eastAsia" w:ascii="宋体" w:hAnsi="宋体" w:cs="宋体"/>
                <w:b/>
                <w:bCs/>
                <w:kern w:val="0"/>
                <w:sz w:val="24"/>
              </w:rPr>
              <w:t>　</w:t>
            </w:r>
          </w:p>
        </w:tc>
      </w:tr>
      <w:tr>
        <w:tblPrEx>
          <w:tblCellMar>
            <w:top w:w="0" w:type="dxa"/>
            <w:left w:w="108" w:type="dxa"/>
            <w:bottom w:w="0" w:type="dxa"/>
            <w:right w:w="108" w:type="dxa"/>
          </w:tblCellMar>
        </w:tblPrEx>
        <w:trPr>
          <w:trHeight w:val="285" w:hRule="atLeast"/>
          <w:jc w:val="center"/>
        </w:trPr>
        <w:tc>
          <w:tcPr>
            <w:tcW w:w="16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应聘职位</w:t>
            </w:r>
          </w:p>
        </w:tc>
        <w:tc>
          <w:tcPr>
            <w:tcW w:w="1660" w:type="dxa"/>
            <w:tcBorders>
              <w:top w:val="nil"/>
              <w:left w:val="nil"/>
              <w:bottom w:val="single" w:color="auto" w:sz="4" w:space="0"/>
              <w:right w:val="nil"/>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204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hint="eastAsia" w:ascii="宋体" w:hAnsi="宋体" w:cs="宋体"/>
                <w:kern w:val="0"/>
                <w:sz w:val="22"/>
              </w:rPr>
              <w:t>　</w:t>
            </w:r>
          </w:p>
        </w:tc>
      </w:tr>
      <w:tr>
        <w:tblPrEx>
          <w:tblCellMar>
            <w:top w:w="0" w:type="dxa"/>
            <w:left w:w="108" w:type="dxa"/>
            <w:bottom w:w="0" w:type="dxa"/>
            <w:right w:w="108" w:type="dxa"/>
          </w:tblCellMar>
        </w:tblPrEx>
        <w:trPr>
          <w:trHeight w:val="285" w:hRule="atLeast"/>
          <w:jc w:val="center"/>
        </w:trPr>
        <w:tc>
          <w:tcPr>
            <w:tcW w:w="16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适合职位</w:t>
            </w:r>
          </w:p>
        </w:tc>
        <w:tc>
          <w:tcPr>
            <w:tcW w:w="1660" w:type="dxa"/>
            <w:tcBorders>
              <w:top w:val="nil"/>
              <w:left w:val="nil"/>
              <w:bottom w:val="single" w:color="auto" w:sz="4" w:space="0"/>
              <w:right w:val="nil"/>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204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hint="eastAsia" w:ascii="宋体" w:hAnsi="宋体" w:cs="宋体"/>
                <w:kern w:val="0"/>
                <w:sz w:val="22"/>
              </w:rPr>
              <w:t>　</w:t>
            </w:r>
          </w:p>
        </w:tc>
      </w:tr>
      <w:tr>
        <w:tblPrEx>
          <w:tblCellMar>
            <w:top w:w="0" w:type="dxa"/>
            <w:left w:w="108" w:type="dxa"/>
            <w:bottom w:w="0" w:type="dxa"/>
            <w:right w:w="108" w:type="dxa"/>
          </w:tblCellMar>
        </w:tblPrEx>
        <w:trPr>
          <w:trHeight w:val="285" w:hRule="atLeast"/>
          <w:jc w:val="center"/>
        </w:trPr>
        <w:tc>
          <w:tcPr>
            <w:tcW w:w="16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年龄</w:t>
            </w:r>
          </w:p>
        </w:tc>
        <w:tc>
          <w:tcPr>
            <w:tcW w:w="1660" w:type="dxa"/>
            <w:tcBorders>
              <w:top w:val="nil"/>
              <w:left w:val="nil"/>
              <w:bottom w:val="single" w:color="auto" w:sz="4" w:space="0"/>
              <w:right w:val="nil"/>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204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285" w:hRule="atLeast"/>
          <w:jc w:val="center"/>
        </w:trPr>
        <w:tc>
          <w:tcPr>
            <w:tcW w:w="16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教育背景</w:t>
            </w:r>
          </w:p>
        </w:tc>
        <w:tc>
          <w:tcPr>
            <w:tcW w:w="1660" w:type="dxa"/>
            <w:tcBorders>
              <w:top w:val="nil"/>
              <w:left w:val="nil"/>
              <w:bottom w:val="single" w:color="auto" w:sz="4" w:space="0"/>
              <w:right w:val="nil"/>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204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285" w:hRule="atLeast"/>
          <w:jc w:val="center"/>
        </w:trPr>
        <w:tc>
          <w:tcPr>
            <w:tcW w:w="16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工作经历（详见简历）</w:t>
            </w:r>
          </w:p>
        </w:tc>
        <w:tc>
          <w:tcPr>
            <w:tcW w:w="1660" w:type="dxa"/>
            <w:tcBorders>
              <w:top w:val="nil"/>
              <w:left w:val="nil"/>
              <w:bottom w:val="single" w:color="auto" w:sz="4" w:space="0"/>
              <w:right w:val="nil"/>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204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315" w:hRule="atLeast"/>
          <w:jc w:val="center"/>
        </w:trPr>
        <w:tc>
          <w:tcPr>
            <w:tcW w:w="8321" w:type="dxa"/>
            <w:gridSpan w:val="4"/>
            <w:tcBorders>
              <w:top w:val="single" w:color="auto" w:sz="4" w:space="0"/>
              <w:left w:val="nil"/>
              <w:bottom w:val="single" w:color="auto" w:sz="4" w:space="0"/>
              <w:right w:val="single" w:color="000000" w:sz="4" w:space="0"/>
            </w:tcBorders>
            <w:shd w:val="clear" w:color="000000" w:fill="BFBFBF"/>
            <w:vAlign w:val="center"/>
          </w:tcPr>
          <w:p>
            <w:pPr>
              <w:widowControl/>
              <w:jc w:val="center"/>
              <w:rPr>
                <w:rFonts w:ascii="Calibri" w:hAnsi="Calibri" w:cs="Calibri"/>
                <w:kern w:val="0"/>
                <w:sz w:val="24"/>
              </w:rPr>
            </w:pPr>
            <w:r>
              <w:rPr>
                <w:rFonts w:ascii="Calibri" w:hAnsi="Calibri" w:cs="Calibri"/>
                <w:kern w:val="0"/>
                <w:sz w:val="24"/>
              </w:rPr>
              <w:t>　</w:t>
            </w:r>
          </w:p>
        </w:tc>
      </w:tr>
      <w:tr>
        <w:tblPrEx>
          <w:tblCellMar>
            <w:top w:w="0" w:type="dxa"/>
            <w:left w:w="108" w:type="dxa"/>
            <w:bottom w:w="0" w:type="dxa"/>
            <w:right w:w="108" w:type="dxa"/>
          </w:tblCellMar>
        </w:tblPrEx>
        <w:trPr>
          <w:trHeight w:val="600" w:hRule="atLeast"/>
          <w:jc w:val="center"/>
        </w:trPr>
        <w:tc>
          <w:tcPr>
            <w:tcW w:w="1653"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kern w:val="0"/>
                <w:sz w:val="24"/>
              </w:rPr>
            </w:pPr>
            <w:r>
              <w:rPr>
                <w:rFonts w:hint="eastAsia" w:ascii="宋体" w:hAnsi="宋体" w:cs="宋体"/>
                <w:b/>
                <w:kern w:val="0"/>
                <w:sz w:val="24"/>
              </w:rPr>
              <w:t>面试</w:t>
            </w:r>
          </w:p>
          <w:p>
            <w:pPr>
              <w:widowControl/>
              <w:jc w:val="center"/>
              <w:rPr>
                <w:rFonts w:ascii="宋体" w:hAnsi="宋体" w:cs="宋体"/>
                <w:kern w:val="0"/>
                <w:sz w:val="24"/>
              </w:rPr>
            </w:pPr>
            <w:r>
              <w:rPr>
                <w:rFonts w:hint="eastAsia" w:ascii="宋体" w:hAnsi="宋体" w:cs="宋体"/>
                <w:b/>
                <w:kern w:val="0"/>
                <w:sz w:val="24"/>
              </w:rPr>
              <w:t>内容</w:t>
            </w: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kern w:val="0"/>
                <w:sz w:val="24"/>
              </w:rPr>
            </w:pPr>
            <w:r>
              <w:rPr>
                <w:rFonts w:ascii="Calibri" w:hAnsi="Calibri" w:cs="Calibri"/>
                <w:kern w:val="0"/>
                <w:sz w:val="24"/>
              </w:rPr>
              <w:t>1</w:t>
            </w:r>
            <w:r>
              <w:rPr>
                <w:rFonts w:hint="eastAsia" w:ascii="宋体" w:hAnsi="宋体" w:cs="Calibri"/>
                <w:kern w:val="0"/>
                <w:sz w:val="24"/>
              </w:rPr>
              <w:t>、相关工作经历，特别是项目管理经验</w:t>
            </w:r>
          </w:p>
        </w:tc>
        <w:tc>
          <w:tcPr>
            <w:tcW w:w="1660" w:type="dxa"/>
            <w:tcBorders>
              <w:top w:val="nil"/>
              <w:left w:val="nil"/>
              <w:bottom w:val="single" w:color="auto" w:sz="4" w:space="0"/>
              <w:right w:val="nil"/>
            </w:tcBorders>
            <w:shd w:val="clear" w:color="000000" w:fill="FFFFFF"/>
            <w:vAlign w:val="center"/>
          </w:tcPr>
          <w:p>
            <w:pPr>
              <w:widowControl/>
              <w:jc w:val="center"/>
              <w:rPr>
                <w:rFonts w:ascii="Calibri" w:hAnsi="Calibri" w:cs="Calibri"/>
                <w:kern w:val="0"/>
                <w:sz w:val="24"/>
              </w:rPr>
            </w:pPr>
            <w:r>
              <w:rPr>
                <w:rFonts w:ascii="Calibri" w:hAnsi="Calibri" w:cs="Calibri"/>
                <w:kern w:val="0"/>
                <w:sz w:val="24"/>
              </w:rPr>
              <w:t>　</w:t>
            </w:r>
          </w:p>
        </w:tc>
        <w:tc>
          <w:tcPr>
            <w:tcW w:w="204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600" w:hRule="atLeast"/>
          <w:jc w:val="center"/>
        </w:trPr>
        <w:tc>
          <w:tcPr>
            <w:tcW w:w="16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kern w:val="0"/>
                <w:sz w:val="24"/>
              </w:rPr>
            </w:pPr>
            <w:r>
              <w:rPr>
                <w:rFonts w:ascii="Calibri" w:hAnsi="Calibri" w:cs="Calibri"/>
                <w:kern w:val="0"/>
                <w:sz w:val="24"/>
              </w:rPr>
              <w:t>2</w:t>
            </w:r>
            <w:r>
              <w:rPr>
                <w:rFonts w:hint="eastAsia" w:ascii="宋体" w:hAnsi="宋体" w:cs="Calibri"/>
                <w:kern w:val="0"/>
                <w:sz w:val="24"/>
              </w:rPr>
              <w:t>、相关专业知识及培训，对公益岗位的理解</w:t>
            </w:r>
          </w:p>
        </w:tc>
        <w:tc>
          <w:tcPr>
            <w:tcW w:w="1660" w:type="dxa"/>
            <w:tcBorders>
              <w:top w:val="nil"/>
              <w:left w:val="nil"/>
              <w:bottom w:val="single" w:color="auto" w:sz="4" w:space="0"/>
              <w:right w:val="nil"/>
            </w:tcBorders>
            <w:shd w:val="clear" w:color="000000" w:fill="FFFFFF"/>
            <w:vAlign w:val="center"/>
          </w:tcPr>
          <w:p>
            <w:pPr>
              <w:widowControl/>
              <w:jc w:val="center"/>
              <w:rPr>
                <w:rFonts w:ascii="Calibri" w:hAnsi="Calibri" w:cs="Calibri"/>
                <w:kern w:val="0"/>
                <w:sz w:val="24"/>
              </w:rPr>
            </w:pPr>
            <w:r>
              <w:rPr>
                <w:rFonts w:ascii="Calibri" w:hAnsi="Calibri" w:cs="Calibri"/>
                <w:kern w:val="0"/>
                <w:sz w:val="24"/>
              </w:rPr>
              <w:t>　</w:t>
            </w:r>
          </w:p>
        </w:tc>
        <w:tc>
          <w:tcPr>
            <w:tcW w:w="204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600" w:hRule="atLeast"/>
          <w:jc w:val="center"/>
        </w:trPr>
        <w:tc>
          <w:tcPr>
            <w:tcW w:w="16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kern w:val="0"/>
                <w:sz w:val="24"/>
              </w:rPr>
            </w:pPr>
            <w:r>
              <w:rPr>
                <w:rFonts w:ascii="Calibri" w:hAnsi="Calibri" w:cs="Calibri"/>
                <w:kern w:val="0"/>
                <w:sz w:val="24"/>
              </w:rPr>
              <w:t>3</w:t>
            </w:r>
            <w:r>
              <w:rPr>
                <w:rFonts w:hint="eastAsia" w:ascii="宋体" w:hAnsi="宋体" w:cs="Calibri"/>
                <w:kern w:val="0"/>
                <w:sz w:val="24"/>
              </w:rPr>
              <w:t>、语言表达、逻辑思维及组织协调能力</w:t>
            </w:r>
          </w:p>
        </w:tc>
        <w:tc>
          <w:tcPr>
            <w:tcW w:w="1660" w:type="dxa"/>
            <w:tcBorders>
              <w:top w:val="nil"/>
              <w:left w:val="nil"/>
              <w:bottom w:val="single" w:color="auto" w:sz="4" w:space="0"/>
              <w:right w:val="nil"/>
            </w:tcBorders>
            <w:shd w:val="clear" w:color="000000" w:fill="FFFFFF"/>
            <w:vAlign w:val="center"/>
          </w:tcPr>
          <w:p>
            <w:pPr>
              <w:widowControl/>
              <w:jc w:val="center"/>
              <w:rPr>
                <w:rFonts w:ascii="Calibri" w:hAnsi="Calibri" w:cs="Calibri"/>
                <w:kern w:val="0"/>
                <w:sz w:val="24"/>
              </w:rPr>
            </w:pPr>
            <w:r>
              <w:rPr>
                <w:rFonts w:ascii="Calibri" w:hAnsi="Calibri" w:cs="Calibri"/>
                <w:kern w:val="0"/>
                <w:sz w:val="24"/>
              </w:rPr>
              <w:t>　</w:t>
            </w:r>
          </w:p>
        </w:tc>
        <w:tc>
          <w:tcPr>
            <w:tcW w:w="204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600" w:hRule="atLeast"/>
          <w:jc w:val="center"/>
        </w:trPr>
        <w:tc>
          <w:tcPr>
            <w:tcW w:w="16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kern w:val="0"/>
                <w:sz w:val="24"/>
              </w:rPr>
            </w:pPr>
            <w:r>
              <w:rPr>
                <w:rFonts w:ascii="Calibri" w:hAnsi="Calibri" w:cs="Calibri"/>
                <w:kern w:val="0"/>
                <w:sz w:val="24"/>
              </w:rPr>
              <w:t>4</w:t>
            </w:r>
            <w:r>
              <w:rPr>
                <w:rFonts w:hint="eastAsia" w:ascii="宋体" w:hAnsi="宋体" w:cs="Calibri"/>
                <w:kern w:val="0"/>
                <w:sz w:val="24"/>
              </w:rPr>
              <w:t>、外语、计算机及其他技能</w:t>
            </w:r>
          </w:p>
        </w:tc>
        <w:tc>
          <w:tcPr>
            <w:tcW w:w="1660" w:type="dxa"/>
            <w:tcBorders>
              <w:top w:val="nil"/>
              <w:left w:val="nil"/>
              <w:bottom w:val="single" w:color="auto" w:sz="4" w:space="0"/>
              <w:right w:val="single" w:color="auto" w:sz="4" w:space="0"/>
            </w:tcBorders>
            <w:shd w:val="clear" w:color="000000" w:fill="FFFFFF"/>
            <w:vAlign w:val="center"/>
          </w:tcPr>
          <w:p>
            <w:pPr>
              <w:widowControl/>
              <w:jc w:val="center"/>
              <w:rPr>
                <w:rFonts w:ascii="Calibri" w:hAnsi="Calibri" w:cs="Calibri"/>
                <w:kern w:val="0"/>
                <w:sz w:val="24"/>
              </w:rPr>
            </w:pPr>
            <w:r>
              <w:rPr>
                <w:rFonts w:ascii="Calibri" w:hAnsi="Calibri" w:cs="Calibri"/>
                <w:kern w:val="0"/>
                <w:sz w:val="24"/>
              </w:rPr>
              <w:t>　</w:t>
            </w:r>
          </w:p>
        </w:tc>
        <w:tc>
          <w:tcPr>
            <w:tcW w:w="204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315" w:hRule="atLeast"/>
          <w:jc w:val="center"/>
        </w:trPr>
        <w:tc>
          <w:tcPr>
            <w:tcW w:w="16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kern w:val="0"/>
                <w:sz w:val="24"/>
              </w:rPr>
            </w:pPr>
            <w:r>
              <w:rPr>
                <w:rFonts w:ascii="Calibri" w:hAnsi="Calibri" w:cs="Calibri"/>
                <w:kern w:val="0"/>
                <w:sz w:val="24"/>
              </w:rPr>
              <w:t>5</w:t>
            </w:r>
            <w:r>
              <w:rPr>
                <w:rFonts w:hint="eastAsia" w:ascii="宋体" w:hAnsi="宋体" w:cs="Calibri"/>
                <w:kern w:val="0"/>
                <w:sz w:val="24"/>
              </w:rPr>
              <w:t>、品德及团队合作</w:t>
            </w:r>
          </w:p>
        </w:tc>
        <w:tc>
          <w:tcPr>
            <w:tcW w:w="1660" w:type="dxa"/>
            <w:tcBorders>
              <w:top w:val="nil"/>
              <w:left w:val="nil"/>
              <w:bottom w:val="single" w:color="auto" w:sz="4" w:space="0"/>
              <w:right w:val="single" w:color="auto" w:sz="4" w:space="0"/>
            </w:tcBorders>
            <w:shd w:val="clear" w:color="000000" w:fill="FFFFFF"/>
            <w:vAlign w:val="center"/>
          </w:tcPr>
          <w:p>
            <w:pPr>
              <w:widowControl/>
              <w:jc w:val="center"/>
              <w:rPr>
                <w:rFonts w:ascii="Calibri" w:hAnsi="Calibri" w:cs="Calibri"/>
                <w:kern w:val="0"/>
                <w:sz w:val="24"/>
              </w:rPr>
            </w:pPr>
            <w:r>
              <w:rPr>
                <w:rFonts w:ascii="Calibri" w:hAnsi="Calibri" w:cs="Calibri"/>
                <w:kern w:val="0"/>
                <w:sz w:val="24"/>
              </w:rPr>
              <w:t>　</w:t>
            </w:r>
          </w:p>
        </w:tc>
        <w:tc>
          <w:tcPr>
            <w:tcW w:w="204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315" w:hRule="atLeast"/>
          <w:jc w:val="center"/>
        </w:trPr>
        <w:tc>
          <w:tcPr>
            <w:tcW w:w="16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kern w:val="0"/>
                <w:sz w:val="24"/>
              </w:rPr>
            </w:pPr>
            <w:r>
              <w:rPr>
                <w:rFonts w:ascii="Calibri" w:hAnsi="Calibri" w:cs="Calibri"/>
                <w:kern w:val="0"/>
                <w:sz w:val="24"/>
              </w:rPr>
              <w:t>6</w:t>
            </w:r>
            <w:r>
              <w:rPr>
                <w:rFonts w:hint="eastAsia" w:ascii="宋体" w:hAnsi="宋体" w:cs="Calibri"/>
                <w:kern w:val="0"/>
                <w:sz w:val="24"/>
              </w:rPr>
              <w:t>、个人特长及优势</w:t>
            </w:r>
          </w:p>
        </w:tc>
        <w:tc>
          <w:tcPr>
            <w:tcW w:w="1660" w:type="dxa"/>
            <w:tcBorders>
              <w:top w:val="nil"/>
              <w:left w:val="nil"/>
              <w:bottom w:val="single" w:color="auto" w:sz="4" w:space="0"/>
              <w:right w:val="single" w:color="auto" w:sz="4" w:space="0"/>
            </w:tcBorders>
            <w:shd w:val="clear" w:color="000000" w:fill="FFFFFF"/>
            <w:vAlign w:val="center"/>
          </w:tcPr>
          <w:p>
            <w:pPr>
              <w:widowControl/>
              <w:jc w:val="center"/>
              <w:rPr>
                <w:rFonts w:ascii="Calibri" w:hAnsi="Calibri" w:cs="Calibri"/>
                <w:kern w:val="0"/>
                <w:sz w:val="24"/>
              </w:rPr>
            </w:pPr>
            <w:r>
              <w:rPr>
                <w:rFonts w:ascii="Calibri" w:hAnsi="Calibri" w:cs="Calibri"/>
                <w:kern w:val="0"/>
                <w:sz w:val="24"/>
              </w:rPr>
              <w:t>　</w:t>
            </w:r>
          </w:p>
        </w:tc>
        <w:tc>
          <w:tcPr>
            <w:tcW w:w="204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315" w:hRule="atLeast"/>
          <w:jc w:val="center"/>
        </w:trPr>
        <w:tc>
          <w:tcPr>
            <w:tcW w:w="16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kern w:val="0"/>
                <w:sz w:val="24"/>
              </w:rPr>
            </w:pPr>
            <w:r>
              <w:rPr>
                <w:rFonts w:ascii="Calibri" w:hAnsi="Calibri" w:cs="Calibri"/>
                <w:kern w:val="0"/>
                <w:sz w:val="24"/>
              </w:rPr>
              <w:t>7</w:t>
            </w:r>
            <w:r>
              <w:rPr>
                <w:rFonts w:hint="eastAsia" w:ascii="宋体" w:hAnsi="宋体" w:cs="Calibri"/>
                <w:kern w:val="0"/>
                <w:sz w:val="24"/>
              </w:rPr>
              <w:t>、个人要求及期望</w:t>
            </w:r>
          </w:p>
        </w:tc>
        <w:tc>
          <w:tcPr>
            <w:tcW w:w="16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204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315" w:hRule="atLeast"/>
          <w:jc w:val="center"/>
        </w:trPr>
        <w:tc>
          <w:tcPr>
            <w:tcW w:w="16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kern w:val="0"/>
                <w:sz w:val="24"/>
              </w:rPr>
            </w:pPr>
            <w:r>
              <w:rPr>
                <w:rFonts w:ascii="Calibri" w:hAnsi="Calibri" w:cs="Calibri"/>
                <w:kern w:val="0"/>
                <w:sz w:val="24"/>
              </w:rPr>
              <w:t>8</w:t>
            </w:r>
            <w:r>
              <w:rPr>
                <w:rFonts w:hint="eastAsia" w:ascii="宋体" w:hAnsi="宋体" w:cs="Calibri"/>
                <w:kern w:val="0"/>
                <w:sz w:val="24"/>
              </w:rPr>
              <w:t>、其他</w:t>
            </w:r>
          </w:p>
        </w:tc>
        <w:tc>
          <w:tcPr>
            <w:tcW w:w="1660" w:type="dxa"/>
            <w:tcBorders>
              <w:top w:val="nil"/>
              <w:left w:val="nil"/>
              <w:bottom w:val="single" w:color="auto" w:sz="4" w:space="0"/>
              <w:right w:val="single" w:color="auto" w:sz="4" w:space="0"/>
            </w:tcBorders>
            <w:shd w:val="clear" w:color="000000" w:fill="FFFFFF"/>
            <w:vAlign w:val="center"/>
          </w:tcPr>
          <w:p>
            <w:pPr>
              <w:widowControl/>
              <w:jc w:val="center"/>
              <w:rPr>
                <w:rFonts w:ascii="Calibri" w:hAnsi="Calibri" w:cs="Calibri"/>
                <w:kern w:val="0"/>
                <w:sz w:val="24"/>
              </w:rPr>
            </w:pPr>
            <w:r>
              <w:rPr>
                <w:rFonts w:ascii="Calibri" w:hAnsi="Calibri" w:cs="Calibri"/>
                <w:kern w:val="0"/>
                <w:sz w:val="24"/>
              </w:rPr>
              <w:t>　</w:t>
            </w:r>
          </w:p>
        </w:tc>
        <w:tc>
          <w:tcPr>
            <w:tcW w:w="204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315" w:hRule="atLeast"/>
          <w:jc w:val="center"/>
        </w:trPr>
        <w:tc>
          <w:tcPr>
            <w:tcW w:w="1653" w:type="dxa"/>
            <w:tcBorders>
              <w:top w:val="nil"/>
              <w:left w:val="single" w:color="auto" w:sz="4" w:space="0"/>
              <w:bottom w:val="nil"/>
              <w:right w:val="single" w:color="auto" w:sz="4" w:space="0"/>
            </w:tcBorders>
            <w:shd w:val="clear" w:color="000000" w:fill="FFFFFF"/>
            <w:vAlign w:val="center"/>
          </w:tcPr>
          <w:p>
            <w:pPr>
              <w:widowControl/>
              <w:jc w:val="center"/>
              <w:rPr>
                <w:rFonts w:ascii="Calibri" w:hAnsi="Calibri" w:cs="Calibri"/>
                <w:kern w:val="0"/>
                <w:sz w:val="24"/>
              </w:rPr>
            </w:pPr>
            <w:r>
              <w:rPr>
                <w:rFonts w:ascii="Calibri" w:hAnsi="Calibri" w:cs="Calibri"/>
                <w:kern w:val="0"/>
                <w:sz w:val="24"/>
              </w:rPr>
              <w:t>　</w:t>
            </w: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面试综合得分</w:t>
            </w:r>
          </w:p>
        </w:tc>
        <w:tc>
          <w:tcPr>
            <w:tcW w:w="1660" w:type="dxa"/>
            <w:tcBorders>
              <w:top w:val="nil"/>
              <w:left w:val="nil"/>
              <w:bottom w:val="single" w:color="auto" w:sz="4" w:space="0"/>
              <w:right w:val="single" w:color="auto" w:sz="4" w:space="0"/>
            </w:tcBorders>
            <w:shd w:val="clear" w:color="000000" w:fill="FFFFFF"/>
            <w:vAlign w:val="center"/>
          </w:tcPr>
          <w:p>
            <w:pPr>
              <w:widowControl/>
              <w:jc w:val="center"/>
              <w:rPr>
                <w:rFonts w:ascii="Calibri" w:hAnsi="Calibri" w:cs="Calibri"/>
                <w:kern w:val="0"/>
                <w:sz w:val="24"/>
              </w:rPr>
            </w:pPr>
            <w:r>
              <w:rPr>
                <w:rFonts w:ascii="Calibri" w:hAnsi="Calibri" w:cs="Calibri"/>
                <w:kern w:val="0"/>
                <w:sz w:val="24"/>
              </w:rPr>
              <w:t>　</w:t>
            </w:r>
          </w:p>
        </w:tc>
        <w:tc>
          <w:tcPr>
            <w:tcW w:w="204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315" w:hRule="atLeast"/>
          <w:jc w:val="center"/>
        </w:trPr>
        <w:tc>
          <w:tcPr>
            <w:tcW w:w="1653"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kern w:val="0"/>
                <w:sz w:val="24"/>
              </w:rPr>
            </w:pPr>
            <w:r>
              <w:rPr>
                <w:rFonts w:hint="eastAsia" w:ascii="宋体" w:hAnsi="宋体" w:cs="宋体"/>
                <w:b/>
                <w:kern w:val="0"/>
                <w:sz w:val="24"/>
              </w:rPr>
              <w:t>面试</w:t>
            </w:r>
          </w:p>
          <w:p>
            <w:pPr>
              <w:widowControl/>
              <w:jc w:val="center"/>
              <w:rPr>
                <w:rFonts w:ascii="宋体" w:hAnsi="宋体" w:cs="宋体"/>
                <w:kern w:val="0"/>
                <w:sz w:val="24"/>
              </w:rPr>
            </w:pPr>
            <w:r>
              <w:rPr>
                <w:rFonts w:hint="eastAsia" w:ascii="宋体" w:hAnsi="宋体" w:cs="宋体"/>
                <w:b/>
                <w:kern w:val="0"/>
                <w:sz w:val="24"/>
              </w:rPr>
              <w:t>评价</w:t>
            </w: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推荐度</w:t>
            </w:r>
          </w:p>
        </w:tc>
        <w:tc>
          <w:tcPr>
            <w:tcW w:w="1660" w:type="dxa"/>
            <w:tcBorders>
              <w:top w:val="nil"/>
              <w:left w:val="nil"/>
              <w:bottom w:val="single" w:color="auto" w:sz="4" w:space="0"/>
              <w:right w:val="single" w:color="auto" w:sz="4" w:space="0"/>
            </w:tcBorders>
            <w:shd w:val="clear" w:color="000000" w:fill="FFFFFF"/>
            <w:vAlign w:val="center"/>
          </w:tcPr>
          <w:p>
            <w:pPr>
              <w:widowControl/>
              <w:jc w:val="center"/>
              <w:rPr>
                <w:rFonts w:ascii="Calibri" w:hAnsi="Calibri" w:cs="Calibri"/>
                <w:kern w:val="0"/>
                <w:sz w:val="24"/>
              </w:rPr>
            </w:pPr>
            <w:r>
              <w:rPr>
                <w:rFonts w:ascii="Calibri" w:hAnsi="Calibri" w:cs="Calibri"/>
                <w:kern w:val="0"/>
                <w:sz w:val="24"/>
              </w:rPr>
              <w:t>　</w:t>
            </w:r>
          </w:p>
        </w:tc>
        <w:tc>
          <w:tcPr>
            <w:tcW w:w="204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315" w:hRule="atLeast"/>
          <w:jc w:val="center"/>
        </w:trPr>
        <w:tc>
          <w:tcPr>
            <w:tcW w:w="1653"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296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面试综合评价</w:t>
            </w:r>
          </w:p>
        </w:tc>
        <w:tc>
          <w:tcPr>
            <w:tcW w:w="3708"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Calibri" w:hAnsi="Calibri" w:cs="Calibri"/>
                <w:kern w:val="0"/>
                <w:sz w:val="24"/>
              </w:rPr>
            </w:pPr>
            <w:r>
              <w:rPr>
                <w:rFonts w:ascii="Calibri" w:hAnsi="Calibri" w:cs="Calibri"/>
                <w:kern w:val="0"/>
                <w:sz w:val="24"/>
              </w:rPr>
              <w:t>　</w:t>
            </w:r>
          </w:p>
        </w:tc>
      </w:tr>
    </w:tbl>
    <w:p>
      <w:pPr>
        <w:widowControl/>
        <w:spacing w:line="500" w:lineRule="atLeast"/>
        <w:jc w:val="left"/>
        <w:rPr>
          <w:rFonts w:ascii="宋体" w:hAnsi="宋体" w:cs="宋体"/>
          <w:kern w:val="0"/>
          <w:sz w:val="24"/>
        </w:rPr>
      </w:pPr>
    </w:p>
    <w:p>
      <w:pPr>
        <w:widowControl/>
        <w:spacing w:line="500" w:lineRule="atLeast"/>
        <w:jc w:val="left"/>
        <w:rPr>
          <w:rFonts w:ascii="宋体" w:hAnsi="宋体" w:cs="宋体"/>
          <w:kern w:val="0"/>
          <w:sz w:val="24"/>
        </w:rPr>
      </w:pPr>
    </w:p>
    <w:p>
      <w:pPr>
        <w:widowControl/>
        <w:spacing w:line="500" w:lineRule="atLeast"/>
        <w:jc w:val="left"/>
        <w:rPr>
          <w:rFonts w:ascii="宋体" w:hAnsi="宋体" w:cs="宋体"/>
          <w:kern w:val="0"/>
          <w:sz w:val="24"/>
        </w:rPr>
      </w:pPr>
    </w:p>
    <w:p>
      <w:pPr>
        <w:widowControl/>
        <w:spacing w:line="500" w:lineRule="atLeast"/>
        <w:jc w:val="left"/>
        <w:rPr>
          <w:rFonts w:ascii="宋体" w:hAnsi="宋体" w:cs="宋体"/>
          <w:kern w:val="0"/>
          <w:sz w:val="24"/>
        </w:rPr>
      </w:pPr>
    </w:p>
    <w:p>
      <w:pPr>
        <w:widowControl/>
        <w:spacing w:line="500" w:lineRule="atLeast"/>
        <w:jc w:val="left"/>
        <w:rPr>
          <w:rFonts w:ascii="宋体" w:hAnsi="宋体" w:cs="宋体"/>
          <w:kern w:val="0"/>
          <w:sz w:val="24"/>
        </w:rPr>
      </w:pPr>
    </w:p>
    <w:p>
      <w:pPr>
        <w:widowControl/>
        <w:spacing w:line="500" w:lineRule="atLeast"/>
        <w:jc w:val="left"/>
        <w:rPr>
          <w:rFonts w:ascii="宋体" w:hAnsi="宋体" w:cs="宋体"/>
          <w:kern w:val="0"/>
          <w:sz w:val="24"/>
        </w:rPr>
      </w:pPr>
    </w:p>
    <w:p>
      <w:pPr>
        <w:widowControl/>
        <w:spacing w:line="500" w:lineRule="atLeast"/>
        <w:jc w:val="left"/>
        <w:rPr>
          <w:rFonts w:ascii="宋体" w:hAnsi="宋体" w:cs="宋体"/>
          <w:kern w:val="0"/>
          <w:sz w:val="24"/>
        </w:rPr>
      </w:pPr>
    </w:p>
    <w:p>
      <w:pPr>
        <w:widowControl/>
        <w:spacing w:line="500" w:lineRule="atLeast"/>
        <w:jc w:val="left"/>
        <w:rPr>
          <w:rFonts w:ascii="宋体" w:hAnsi="宋体" w:cs="宋体"/>
          <w:kern w:val="0"/>
          <w:sz w:val="24"/>
        </w:rPr>
      </w:pPr>
    </w:p>
    <w:p>
      <w:pPr>
        <w:widowControl/>
        <w:spacing w:line="500" w:lineRule="atLeast"/>
        <w:jc w:val="left"/>
        <w:rPr>
          <w:rFonts w:ascii="宋体" w:hAnsi="宋体" w:cs="宋体"/>
          <w:kern w:val="0"/>
          <w:sz w:val="24"/>
        </w:rPr>
      </w:pPr>
    </w:p>
    <w:p>
      <w:pPr>
        <w:widowControl/>
        <w:spacing w:line="500" w:lineRule="atLeast"/>
        <w:jc w:val="left"/>
        <w:rPr>
          <w:rFonts w:ascii="宋体" w:hAnsi="宋体" w:cs="宋体"/>
          <w:kern w:val="0"/>
          <w:sz w:val="24"/>
        </w:rPr>
      </w:pPr>
    </w:p>
    <w:p>
      <w:pPr>
        <w:spacing w:line="360" w:lineRule="auto"/>
        <w:outlineLvl w:val="1"/>
        <w:rPr>
          <w:rFonts w:asciiTheme="minorEastAsia" w:hAnsiTheme="minorEastAsia"/>
          <w:sz w:val="24"/>
          <w:szCs w:val="24"/>
        </w:rPr>
      </w:pPr>
      <w:bookmarkStart w:id="127" w:name="_Toc403829237"/>
      <w:bookmarkStart w:id="128" w:name="_Toc16219"/>
      <w:r>
        <w:rPr>
          <w:rFonts w:hint="eastAsia" w:asciiTheme="minorEastAsia" w:hAnsiTheme="minorEastAsia"/>
          <w:sz w:val="24"/>
          <w:szCs w:val="24"/>
        </w:rPr>
        <w:t>附件19-4：《录用通知书》</w:t>
      </w:r>
      <w:bookmarkEnd w:id="127"/>
      <w:bookmarkEnd w:id="128"/>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shd w:val="clear" w:color="auto" w:fill="auto"/>
          </w:tcPr>
          <w:p>
            <w:pPr>
              <w:widowControl/>
              <w:spacing w:line="500" w:lineRule="atLeast"/>
              <w:jc w:val="center"/>
              <w:rPr>
                <w:rFonts w:ascii="黑体" w:hAnsi="宋体" w:eastAsia="黑体" w:cs="宋体"/>
                <w:b/>
                <w:bCs/>
                <w:kern w:val="0"/>
                <w:sz w:val="30"/>
                <w:szCs w:val="30"/>
              </w:rPr>
            </w:pPr>
            <w:r>
              <w:rPr>
                <w:rFonts w:hint="eastAsia" w:ascii="黑体" w:hAnsi="宋体" w:eastAsia="黑体" w:cs="宋体"/>
                <w:b/>
                <w:bCs/>
                <w:kern w:val="0"/>
                <w:sz w:val="30"/>
                <w:szCs w:val="30"/>
              </w:rPr>
              <w:t>录用通知书</w:t>
            </w:r>
          </w:p>
          <w:p>
            <w:pPr>
              <w:widowControl/>
              <w:spacing w:line="500" w:lineRule="atLeast"/>
              <w:jc w:val="left"/>
              <w:rPr>
                <w:rFonts w:ascii="宋体" w:hAnsi="宋体" w:cs="宋体"/>
                <w:sz w:val="24"/>
              </w:rPr>
            </w:pPr>
            <w:r>
              <w:rPr>
                <w:rFonts w:hint="eastAsia" w:ascii="宋体" w:hAnsi="宋体" w:cs="宋体"/>
                <w:sz w:val="24"/>
              </w:rPr>
              <w:t>尊敬的</w:t>
            </w:r>
            <w:r>
              <w:rPr>
                <w:rFonts w:hint="eastAsia" w:ascii="宋体" w:hAnsi="宋体" w:cs="宋体"/>
                <w:sz w:val="24"/>
                <w:u w:val="single"/>
              </w:rPr>
              <w:t xml:space="preserve">        </w:t>
            </w:r>
            <w:r>
              <w:rPr>
                <w:rFonts w:hint="eastAsia" w:ascii="宋体" w:hAnsi="宋体" w:cs="宋体"/>
                <w:sz w:val="24"/>
              </w:rPr>
              <w:t>先生/女士：</w:t>
            </w:r>
          </w:p>
          <w:p>
            <w:pPr>
              <w:widowControl/>
              <w:spacing w:line="500" w:lineRule="atLeast"/>
              <w:ind w:firstLine="480" w:firstLineChars="200"/>
              <w:jc w:val="left"/>
              <w:rPr>
                <w:rFonts w:ascii="宋体" w:hAnsi="宋体" w:cs="宋体"/>
                <w:sz w:val="24"/>
              </w:rPr>
            </w:pPr>
            <w:r>
              <w:rPr>
                <w:rFonts w:hint="eastAsia" w:ascii="宋体" w:hAnsi="宋体" w:cs="宋体"/>
                <w:sz w:val="24"/>
              </w:rPr>
              <w:t>我们非常荣幸的通知您，经过综合评估和慎重考虑，</w:t>
            </w:r>
            <w:r>
              <w:rPr>
                <w:rFonts w:hint="eastAsia" w:ascii="宋体" w:hAnsi="宋体" w:cs="宋体"/>
                <w:sz w:val="24"/>
                <w:lang w:eastAsia="zh-CN"/>
              </w:rPr>
              <w:t>北京天地文化发展</w:t>
            </w:r>
            <w:r>
              <w:rPr>
                <w:rFonts w:hint="eastAsia" w:ascii="宋体" w:hAnsi="宋体" w:cs="宋体"/>
                <w:sz w:val="24"/>
              </w:rPr>
              <w:t>基金会（以下简称“本基金会”）正式聘用您为基金会</w:t>
            </w:r>
            <w:r>
              <w:rPr>
                <w:rFonts w:hint="eastAsia" w:ascii="宋体" w:hAnsi="宋体" w:cs="宋体"/>
                <w:sz w:val="24"/>
                <w:u w:val="single"/>
              </w:rPr>
              <w:t xml:space="preserve">             （岗位）</w:t>
            </w:r>
            <w:r>
              <w:rPr>
                <w:rFonts w:hint="eastAsia" w:ascii="宋体" w:hAnsi="宋体" w:cs="宋体"/>
                <w:sz w:val="24"/>
              </w:rPr>
              <w:t>。此份录用通知书同时提前知会您相关聘用条款，希望您同意并接受。</w:t>
            </w:r>
          </w:p>
          <w:p>
            <w:pPr>
              <w:widowControl/>
              <w:spacing w:line="500" w:lineRule="atLeast"/>
              <w:ind w:firstLine="480" w:firstLineChars="200"/>
              <w:jc w:val="left"/>
              <w:rPr>
                <w:rFonts w:ascii="宋体" w:hAnsi="宋体" w:cs="宋体"/>
                <w:sz w:val="24"/>
              </w:rPr>
            </w:pPr>
            <w:r>
              <w:rPr>
                <w:rFonts w:hint="eastAsia" w:ascii="宋体" w:hAnsi="宋体" w:cs="宋体"/>
                <w:sz w:val="24"/>
              </w:rPr>
              <w:t>以下是有关主要聘用条款具体事项的说明。</w:t>
            </w:r>
          </w:p>
          <w:p>
            <w:pPr>
              <w:widowControl/>
              <w:numPr>
                <w:ilvl w:val="0"/>
                <w:numId w:val="7"/>
              </w:numPr>
              <w:spacing w:line="500" w:lineRule="atLeast"/>
              <w:ind w:firstLine="0"/>
              <w:jc w:val="left"/>
              <w:rPr>
                <w:rFonts w:ascii="宋体" w:hAnsi="宋体" w:cs="宋体"/>
                <w:sz w:val="24"/>
              </w:rPr>
            </w:pPr>
            <w:r>
              <w:rPr>
                <w:rFonts w:hint="eastAsia" w:ascii="宋体" w:hAnsi="宋体" w:cs="宋体"/>
                <w:sz w:val="24"/>
              </w:rPr>
              <w:t>职位：</w:t>
            </w:r>
            <w:r>
              <w:rPr>
                <w:rFonts w:hint="eastAsia" w:ascii="宋体" w:hAnsi="宋体" w:cs="宋体"/>
                <w:sz w:val="24"/>
                <w:u w:val="single"/>
              </w:rPr>
              <w:t xml:space="preserve">                            </w:t>
            </w:r>
          </w:p>
          <w:p>
            <w:pPr>
              <w:widowControl/>
              <w:numPr>
                <w:ilvl w:val="0"/>
                <w:numId w:val="7"/>
              </w:numPr>
              <w:spacing w:line="500" w:lineRule="atLeast"/>
              <w:ind w:firstLine="0"/>
              <w:jc w:val="left"/>
              <w:rPr>
                <w:rFonts w:ascii="宋体" w:hAnsi="宋体" w:cs="宋体"/>
                <w:sz w:val="24"/>
              </w:rPr>
            </w:pPr>
            <w:r>
              <w:rPr>
                <w:rFonts w:hint="eastAsia" w:ascii="宋体" w:hAnsi="宋体" w:cs="宋体"/>
                <w:sz w:val="24"/>
              </w:rPr>
              <w:t>合同期限：</w:t>
            </w:r>
            <w:r>
              <w:rPr>
                <w:rFonts w:hint="eastAsia" w:ascii="宋体" w:hAnsi="宋体" w:cs="宋体"/>
                <w:sz w:val="24"/>
                <w:u w:val="single"/>
              </w:rPr>
              <w:t xml:space="preserve">     </w:t>
            </w:r>
            <w:r>
              <w:rPr>
                <w:rFonts w:hint="eastAsia" w:ascii="宋体" w:hAnsi="宋体" w:cs="宋体"/>
                <w:sz w:val="24"/>
              </w:rPr>
              <w:t>年，试用期：</w:t>
            </w:r>
            <w:r>
              <w:rPr>
                <w:rFonts w:hint="eastAsia" w:ascii="宋体" w:hAnsi="宋体" w:cs="宋体"/>
                <w:sz w:val="24"/>
                <w:u w:val="single"/>
              </w:rPr>
              <w:t xml:space="preserve">    </w:t>
            </w:r>
            <w:r>
              <w:rPr>
                <w:rFonts w:hint="eastAsia" w:ascii="宋体" w:hAnsi="宋体" w:cs="宋体"/>
                <w:sz w:val="24"/>
              </w:rPr>
              <w:t>个月（从入职日起计算）。</w:t>
            </w:r>
          </w:p>
          <w:p>
            <w:pPr>
              <w:widowControl/>
              <w:numPr>
                <w:ilvl w:val="0"/>
                <w:numId w:val="7"/>
              </w:numPr>
              <w:spacing w:line="500" w:lineRule="atLeast"/>
              <w:ind w:firstLine="0"/>
              <w:jc w:val="left"/>
              <w:rPr>
                <w:rFonts w:ascii="宋体" w:hAnsi="宋体" w:cs="宋体"/>
                <w:sz w:val="24"/>
              </w:rPr>
            </w:pPr>
            <w:r>
              <w:rPr>
                <w:rFonts w:hint="eastAsia" w:ascii="宋体" w:hAnsi="宋体" w:cs="宋体"/>
                <w:sz w:val="24"/>
              </w:rPr>
              <w:t>报到时间：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widowControl/>
              <w:numPr>
                <w:ilvl w:val="0"/>
                <w:numId w:val="7"/>
              </w:numPr>
              <w:spacing w:line="500" w:lineRule="atLeast"/>
              <w:ind w:firstLine="0"/>
              <w:jc w:val="left"/>
              <w:rPr>
                <w:rFonts w:ascii="宋体" w:hAnsi="宋体" w:cs="宋体"/>
                <w:sz w:val="24"/>
                <w:u w:val="single"/>
              </w:rPr>
            </w:pPr>
            <w:r>
              <w:rPr>
                <w:rFonts w:hint="eastAsia" w:ascii="宋体" w:hAnsi="宋体" w:cs="宋体"/>
                <w:sz w:val="24"/>
              </w:rPr>
              <w:t>报到地点：</w:t>
            </w:r>
            <w:r>
              <w:rPr>
                <w:rFonts w:hint="eastAsia" w:ascii="宋体" w:hAnsi="宋体" w:cs="宋体"/>
                <w:sz w:val="24"/>
                <w:u w:val="single"/>
              </w:rPr>
              <w:t xml:space="preserve">                       </w:t>
            </w:r>
          </w:p>
          <w:p>
            <w:pPr>
              <w:widowControl/>
              <w:numPr>
                <w:ilvl w:val="0"/>
                <w:numId w:val="7"/>
              </w:numPr>
              <w:spacing w:line="500" w:lineRule="atLeast"/>
              <w:ind w:firstLine="0"/>
              <w:jc w:val="left"/>
              <w:rPr>
                <w:rFonts w:ascii="宋体" w:hAnsi="宋体" w:cs="宋体"/>
                <w:sz w:val="24"/>
              </w:rPr>
            </w:pPr>
            <w:r>
              <w:rPr>
                <w:rFonts w:hint="eastAsia" w:ascii="宋体" w:hAnsi="宋体" w:cs="宋体"/>
                <w:sz w:val="24"/>
              </w:rPr>
              <w:t xml:space="preserve">联系人：  </w:t>
            </w:r>
            <w:r>
              <w:rPr>
                <w:rFonts w:hint="eastAsia" w:ascii="宋体" w:hAnsi="宋体" w:cs="宋体"/>
                <w:sz w:val="24"/>
                <w:u w:val="single"/>
              </w:rPr>
              <w:t xml:space="preserve">                       </w:t>
            </w:r>
            <w:r>
              <w:rPr>
                <w:rFonts w:hint="eastAsia" w:ascii="宋体" w:hAnsi="宋体" w:cs="宋体"/>
                <w:sz w:val="24"/>
              </w:rPr>
              <w:t xml:space="preserve"> </w:t>
            </w:r>
          </w:p>
          <w:p>
            <w:pPr>
              <w:widowControl/>
              <w:numPr>
                <w:ilvl w:val="0"/>
                <w:numId w:val="7"/>
              </w:numPr>
              <w:spacing w:line="500" w:lineRule="atLeast"/>
              <w:ind w:firstLine="0"/>
              <w:jc w:val="left"/>
              <w:rPr>
                <w:rFonts w:ascii="宋体" w:hAnsi="宋体" w:cs="宋体"/>
                <w:sz w:val="24"/>
              </w:rPr>
            </w:pPr>
            <w:r>
              <w:rPr>
                <w:rFonts w:hint="eastAsia" w:ascii="宋体" w:hAnsi="宋体" w:cs="宋体"/>
                <w:sz w:val="24"/>
              </w:rPr>
              <w:t xml:space="preserve">其他有关聘用条款请见《劳动合同》。 </w:t>
            </w:r>
          </w:p>
          <w:p>
            <w:pPr>
              <w:widowControl/>
              <w:numPr>
                <w:ilvl w:val="0"/>
                <w:numId w:val="7"/>
              </w:numPr>
              <w:spacing w:line="500" w:lineRule="atLeast"/>
              <w:ind w:firstLine="0"/>
              <w:jc w:val="left"/>
              <w:rPr>
                <w:rFonts w:ascii="宋体" w:hAnsi="宋体" w:cs="宋体"/>
                <w:sz w:val="24"/>
              </w:rPr>
            </w:pPr>
            <w:r>
              <w:rPr>
                <w:rFonts w:hint="eastAsia" w:ascii="宋体" w:hAnsi="宋体" w:cs="宋体"/>
                <w:sz w:val="24"/>
              </w:rPr>
              <w:t>请您在报到时向我们提供如下个人资料，身份证复印件2份（正反面）、学位证、毕业证复印件各1份，并携带证书原件以备核查，如果你在过程中遇到任何问题，请及时与本基金会人力资源部联系。</w:t>
            </w:r>
          </w:p>
          <w:p>
            <w:pPr>
              <w:widowControl/>
              <w:spacing w:line="500" w:lineRule="atLeast"/>
              <w:ind w:firstLine="360" w:firstLineChars="150"/>
              <w:jc w:val="left"/>
              <w:rPr>
                <w:rFonts w:ascii="宋体" w:hAnsi="宋体" w:cs="宋体"/>
                <w:sz w:val="24"/>
              </w:rPr>
            </w:pPr>
            <w:r>
              <w:rPr>
                <w:rFonts w:hint="eastAsia" w:ascii="宋体" w:hAnsi="宋体" w:cs="宋体"/>
                <w:sz w:val="24"/>
              </w:rPr>
              <w:t>备注：该录用通知书应在</w:t>
            </w:r>
            <w:r>
              <w:rPr>
                <w:rFonts w:hint="eastAsia" w:ascii="宋体" w:hAnsi="宋体" w:cs="宋体"/>
                <w:sz w:val="24"/>
                <w:u w:val="single"/>
              </w:rPr>
              <w:t xml:space="preserve">    </w:t>
            </w:r>
            <w:r>
              <w:rPr>
                <w:rFonts w:hint="eastAsia" w:ascii="宋体" w:hAnsi="宋体" w:cs="宋体"/>
                <w:sz w:val="24"/>
              </w:rPr>
              <w:t xml:space="preserve">年 </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日前内签回有效。</w:t>
            </w:r>
          </w:p>
          <w:p>
            <w:pPr>
              <w:widowControl/>
              <w:spacing w:line="500" w:lineRule="atLeast"/>
              <w:jc w:val="left"/>
              <w:rPr>
                <w:rFonts w:ascii="宋体" w:hAnsi="宋体" w:cs="宋体"/>
                <w:sz w:val="24"/>
              </w:rPr>
            </w:pPr>
            <w:r>
              <w:rPr>
                <w:rFonts w:hint="eastAsia" w:ascii="黑体" w:hAnsi="宋体" w:eastAsia="黑体" w:cs="宋体"/>
                <w:b/>
                <w:bCs/>
                <w:kern w:val="0"/>
                <w:sz w:val="32"/>
                <w:szCs w:val="32"/>
              </w:rPr>
              <mc:AlternateContent>
                <mc:Choice Requires="wps">
                  <w:drawing>
                    <wp:anchor distT="0" distB="0" distL="114300" distR="114300" simplePos="0" relativeHeight="251668480" behindDoc="0" locked="0" layoutInCell="1" allowOverlap="1">
                      <wp:simplePos x="0" y="0"/>
                      <wp:positionH relativeFrom="column">
                        <wp:posOffset>-19050</wp:posOffset>
                      </wp:positionH>
                      <wp:positionV relativeFrom="paragraph">
                        <wp:posOffset>146050</wp:posOffset>
                      </wp:positionV>
                      <wp:extent cx="5257800" cy="1219200"/>
                      <wp:effectExtent l="10795" t="5715" r="8255" b="1333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257800" cy="1219200"/>
                              </a:xfrm>
                              <a:prstGeom prst="rect">
                                <a:avLst/>
                              </a:prstGeom>
                              <a:solidFill>
                                <a:srgbClr val="FFFFFF"/>
                              </a:solidFill>
                              <a:ln w="3175">
                                <a:solidFill>
                                  <a:srgbClr val="000000"/>
                                </a:solidFill>
                                <a:miter lim="800000"/>
                              </a:ln>
                              <a:effectLst/>
                            </wps:spPr>
                            <wps:txbx>
                              <w:txbxContent>
                                <w:p>
                                  <w:pPr>
                                    <w:jc w:val="center"/>
                                  </w:pPr>
                                  <w:r>
                                    <w:rPr>
                                      <w:rFonts w:hint="eastAsia"/>
                                    </w:rPr>
                                    <w:t xml:space="preserve">入职承诺                                 </w:t>
                                  </w:r>
                                </w:p>
                                <w:p>
                                  <w:pPr>
                                    <w:jc w:val="left"/>
                                  </w:pPr>
                                  <w:r>
                                    <w:rPr>
                                      <w:rFonts w:hint="eastAsia"/>
                                    </w:rPr>
                                    <w:t>本人已阅读并理解本《报到通知书》的内容和要求，并郑重承诺会于约定日期到基金会报到，且向基金会提供简历、证件等个人信息真实可靠，如证实本人提供的个人信息存在虚假的情况，本人愿意承担相应的法律责任。</w:t>
                                  </w:r>
                                </w:p>
                                <w:p>
                                  <w:pPr>
                                    <w:jc w:val="left"/>
                                  </w:pPr>
                                  <w:r>
                                    <w:rPr>
                                      <w:rFonts w:hint="eastAsia"/>
                                    </w:rPr>
                                    <w:t>签名：</w:t>
                                  </w:r>
                                  <w:r>
                                    <w:rPr>
                                      <w:rFonts w:hint="eastAsia"/>
                                      <w:u w:val="single"/>
                                    </w:rPr>
                                    <w:t xml:space="preserve">                         </w:t>
                                  </w:r>
                                  <w:r>
                                    <w:rPr>
                                      <w:rFonts w:hint="eastAsia"/>
                                    </w:rPr>
                                    <w:t xml:space="preserve">                   </w:t>
                                  </w:r>
                                  <w:r>
                                    <w:rPr>
                                      <w:rFonts w:hint="eastAsia"/>
                                      <w:u w:val="single"/>
                                    </w:rPr>
                                    <w:t xml:space="preserve">      </w:t>
                                  </w:r>
                                  <w:r>
                                    <w:rPr>
                                      <w:rFonts w:hint="eastAsia"/>
                                    </w:rPr>
                                    <w:t xml:space="preserve"> 年</w:t>
                                  </w:r>
                                  <w:r>
                                    <w:rPr>
                                      <w:rFonts w:hint="eastAsia"/>
                                      <w:u w:val="single"/>
                                    </w:rPr>
                                    <w:t xml:space="preserve">     </w:t>
                                  </w:r>
                                  <w:r>
                                    <w:rPr>
                                      <w:rFonts w:hint="eastAsia"/>
                                    </w:rPr>
                                    <w:t>月</w:t>
                                  </w:r>
                                  <w:r>
                                    <w:rPr>
                                      <w:rFonts w:hint="eastAsia"/>
                                      <w:u w:val="single"/>
                                    </w:rPr>
                                    <w:t xml:space="preserve">     </w:t>
                                  </w:r>
                                  <w:r>
                                    <w:rPr>
                                      <w:rFonts w:hint="eastAsia"/>
                                    </w:rPr>
                                    <w:t>日</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5pt;margin-top:11.5pt;height:96pt;width:414pt;z-index:251668480;mso-width-relative:page;mso-height-relative:page;" fillcolor="#FFFFFF" filled="t" stroked="t" coordsize="21600,21600" o:gfxdata="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GYWWdMAAAAJAQAADwAAAAAAAAABACAAAAAi&#10;AAAAZHJzL2Rvd25yZXYueG1sUEsBAhQAFAAAAAgAh07iQMPXLW1IAgAAlgQAAA4AAAAAAAAAAQAg&#10;AAAAIgEAAGRycy9lMm9Eb2MueG1sUEsFBgAAAAAGAAYAWQEAANwFAAAAAA==&#10;">
                      <v:fill on="t" focussize="0,0"/>
                      <v:stroke weight="0.25pt" color="#000000" miterlimit="8" joinstyle="miter"/>
                      <v:imagedata o:title=""/>
                      <o:lock v:ext="edit" aspectratio="f"/>
                      <v:textbox>
                        <w:txbxContent>
                          <w:p>
                            <w:pPr>
                              <w:jc w:val="center"/>
                            </w:pPr>
                            <w:r>
                              <w:rPr>
                                <w:rFonts w:hint="eastAsia"/>
                              </w:rPr>
                              <w:t xml:space="preserve">入职承诺                                 </w:t>
                            </w:r>
                          </w:p>
                          <w:p>
                            <w:pPr>
                              <w:jc w:val="left"/>
                            </w:pPr>
                            <w:r>
                              <w:rPr>
                                <w:rFonts w:hint="eastAsia"/>
                              </w:rPr>
                              <w:t>本人已阅读并理解本《报到通知书》的内容和要求，并郑重承诺会于约定日期到基金会报到，且向基金会提供简历、证件等个人信息真实可靠，如证实本人提供的个人信息存在虚假的情况，本人愿意承担相应的法律责任。</w:t>
                            </w:r>
                          </w:p>
                          <w:p>
                            <w:pPr>
                              <w:jc w:val="left"/>
                            </w:pPr>
                            <w:r>
                              <w:rPr>
                                <w:rFonts w:hint="eastAsia"/>
                              </w:rPr>
                              <w:t>签名：</w:t>
                            </w:r>
                            <w:r>
                              <w:rPr>
                                <w:rFonts w:hint="eastAsia"/>
                                <w:u w:val="single"/>
                              </w:rPr>
                              <w:t xml:space="preserve">                         </w:t>
                            </w:r>
                            <w:r>
                              <w:rPr>
                                <w:rFonts w:hint="eastAsia"/>
                              </w:rPr>
                              <w:t xml:space="preserve">                   </w:t>
                            </w:r>
                            <w:r>
                              <w:rPr>
                                <w:rFonts w:hint="eastAsia"/>
                                <w:u w:val="single"/>
                              </w:rPr>
                              <w:t xml:space="preserve">      </w:t>
                            </w:r>
                            <w:r>
                              <w:rPr>
                                <w:rFonts w:hint="eastAsia"/>
                              </w:rPr>
                              <w:t xml:space="preserve"> 年</w:t>
                            </w:r>
                            <w:r>
                              <w:rPr>
                                <w:rFonts w:hint="eastAsia"/>
                                <w:u w:val="single"/>
                              </w:rPr>
                              <w:t xml:space="preserve">     </w:t>
                            </w:r>
                            <w:r>
                              <w:rPr>
                                <w:rFonts w:hint="eastAsia"/>
                              </w:rPr>
                              <w:t>月</w:t>
                            </w:r>
                            <w:r>
                              <w:rPr>
                                <w:rFonts w:hint="eastAsia"/>
                                <w:u w:val="single"/>
                              </w:rPr>
                              <w:t xml:space="preserve">     </w:t>
                            </w:r>
                            <w:r>
                              <w:rPr>
                                <w:rFonts w:hint="eastAsia"/>
                              </w:rPr>
                              <w:t>日</w:t>
                            </w:r>
                          </w:p>
                          <w:p/>
                        </w:txbxContent>
                      </v:textbox>
                    </v:shape>
                  </w:pict>
                </mc:Fallback>
              </mc:AlternateContent>
            </w:r>
          </w:p>
          <w:p>
            <w:pPr>
              <w:widowControl/>
              <w:spacing w:line="500" w:lineRule="atLeast"/>
              <w:jc w:val="left"/>
              <w:rPr>
                <w:rFonts w:ascii="宋体" w:hAnsi="宋体" w:cs="宋体"/>
                <w:sz w:val="24"/>
              </w:rPr>
            </w:pPr>
          </w:p>
          <w:p>
            <w:pPr>
              <w:widowControl/>
              <w:spacing w:line="500" w:lineRule="atLeast"/>
              <w:jc w:val="left"/>
              <w:rPr>
                <w:rFonts w:ascii="宋体" w:hAnsi="宋体" w:cs="宋体"/>
                <w:sz w:val="24"/>
              </w:rPr>
            </w:pPr>
          </w:p>
          <w:p>
            <w:pPr>
              <w:widowControl/>
              <w:spacing w:line="500" w:lineRule="atLeast"/>
              <w:jc w:val="left"/>
              <w:rPr>
                <w:rFonts w:ascii="宋体" w:hAnsi="宋体" w:cs="宋体"/>
                <w:sz w:val="24"/>
              </w:rPr>
            </w:pPr>
          </w:p>
          <w:p>
            <w:pPr>
              <w:widowControl/>
              <w:spacing w:line="500" w:lineRule="atLeast"/>
              <w:jc w:val="left"/>
              <w:rPr>
                <w:rFonts w:ascii="宋体" w:hAnsi="宋体" w:cs="宋体"/>
                <w:sz w:val="24"/>
              </w:rPr>
            </w:pPr>
          </w:p>
          <w:p>
            <w:pPr>
              <w:widowControl/>
              <w:spacing w:line="500" w:lineRule="atLeast"/>
              <w:ind w:left="360"/>
              <w:jc w:val="center"/>
              <w:rPr>
                <w:rFonts w:ascii="宋体" w:hAnsi="宋体" w:cs="宋体"/>
                <w:sz w:val="24"/>
              </w:rPr>
            </w:pPr>
            <w:r>
              <w:rPr>
                <w:rFonts w:hint="eastAsia" w:ascii="宋体" w:hAnsi="宋体" w:cs="宋体"/>
                <w:sz w:val="24"/>
              </w:rPr>
              <w:t>此致！</w:t>
            </w:r>
          </w:p>
          <w:p>
            <w:pPr>
              <w:widowControl/>
              <w:spacing w:line="500" w:lineRule="atLeast"/>
              <w:ind w:left="359" w:leftChars="171"/>
              <w:jc w:val="right"/>
              <w:rPr>
                <w:rFonts w:ascii="宋体" w:hAnsi="宋体" w:cs="宋体"/>
                <w:sz w:val="24"/>
              </w:rPr>
            </w:pPr>
            <w:r>
              <w:rPr>
                <w:rFonts w:hint="eastAsia" w:ascii="宋体" w:hAnsi="宋体" w:cs="宋体"/>
                <w:sz w:val="24"/>
                <w:lang w:eastAsia="zh-CN"/>
              </w:rPr>
              <w:t>北京天地文化发展</w:t>
            </w:r>
            <w:r>
              <w:rPr>
                <w:rFonts w:hint="eastAsia" w:ascii="宋体" w:hAnsi="宋体" w:cs="宋体"/>
                <w:sz w:val="24"/>
              </w:rPr>
              <w:t>基金会</w:t>
            </w:r>
          </w:p>
          <w:p>
            <w:pPr>
              <w:widowControl/>
              <w:spacing w:line="500" w:lineRule="atLeast"/>
              <w:ind w:left="360"/>
              <w:jc w:val="left"/>
              <w:rPr>
                <w:rFonts w:ascii="宋体" w:hAnsi="宋体" w:cs="宋体"/>
                <w:sz w:val="24"/>
              </w:rPr>
            </w:pPr>
            <w:r>
              <w:rPr>
                <w:rFonts w:hint="eastAsia" w:ascii="宋体" w:hAnsi="宋体" w:cs="宋体"/>
                <w:sz w:val="24"/>
              </w:rPr>
              <w:t xml:space="preserve">                                                     年    月   日</w:t>
            </w:r>
          </w:p>
        </w:tc>
      </w:tr>
    </w:tbl>
    <w:p>
      <w:pPr>
        <w:spacing w:line="360" w:lineRule="auto"/>
        <w:outlineLvl w:val="1"/>
        <w:rPr>
          <w:rFonts w:hint="eastAsia" w:asciiTheme="minorEastAsia" w:hAnsiTheme="minorEastAsia"/>
          <w:sz w:val="24"/>
          <w:szCs w:val="24"/>
        </w:rPr>
      </w:pPr>
      <w:bookmarkStart w:id="129" w:name="_Toc403829238"/>
    </w:p>
    <w:p>
      <w:pPr>
        <w:spacing w:line="360" w:lineRule="auto"/>
        <w:outlineLvl w:val="1"/>
        <w:rPr>
          <w:rFonts w:hint="eastAsia" w:asciiTheme="minorEastAsia" w:hAnsiTheme="minorEastAsia"/>
          <w:sz w:val="24"/>
          <w:szCs w:val="24"/>
        </w:rPr>
      </w:pPr>
    </w:p>
    <w:p>
      <w:pPr>
        <w:spacing w:line="360" w:lineRule="auto"/>
        <w:outlineLvl w:val="1"/>
        <w:rPr>
          <w:rFonts w:asciiTheme="minorEastAsia" w:hAnsiTheme="minorEastAsia"/>
          <w:sz w:val="24"/>
          <w:szCs w:val="24"/>
        </w:rPr>
      </w:pPr>
      <w:bookmarkStart w:id="130" w:name="_Toc1581"/>
      <w:r>
        <w:rPr>
          <w:rFonts w:hint="eastAsia" w:asciiTheme="minorEastAsia" w:hAnsiTheme="minorEastAsia"/>
          <w:sz w:val="24"/>
          <w:szCs w:val="24"/>
        </w:rPr>
        <w:t>附件22-1：《请假申请单》</w:t>
      </w:r>
      <w:bookmarkEnd w:id="129"/>
      <w:bookmarkEnd w:id="130"/>
    </w:p>
    <w:p>
      <w:pPr>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eastAsia="zh-CN"/>
        </w:rPr>
        <w:t>北京天地文化发展</w:t>
      </w:r>
      <w:r>
        <w:rPr>
          <w:rFonts w:hint="eastAsia" w:ascii="微软雅黑" w:hAnsi="微软雅黑" w:eastAsia="微软雅黑"/>
          <w:b/>
          <w:sz w:val="28"/>
          <w:szCs w:val="28"/>
        </w:rPr>
        <w:t>基金会请假申请单</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shd w:val="clear" w:color="auto" w:fill="auto"/>
          </w:tcPr>
          <w:p>
            <w:pPr>
              <w:rPr>
                <w:sz w:val="24"/>
                <w:szCs w:val="24"/>
              </w:rPr>
            </w:pPr>
            <w:r>
              <w:rPr>
                <w:rFonts w:hint="eastAsia"/>
                <w:sz w:val="24"/>
                <w:szCs w:val="24"/>
              </w:rPr>
              <w:t>姓名</w:t>
            </w:r>
          </w:p>
        </w:tc>
        <w:tc>
          <w:tcPr>
            <w:tcW w:w="1420" w:type="dxa"/>
            <w:shd w:val="clear" w:color="auto" w:fill="auto"/>
          </w:tcPr>
          <w:p>
            <w:pPr>
              <w:rPr>
                <w:sz w:val="24"/>
                <w:szCs w:val="24"/>
              </w:rPr>
            </w:pPr>
          </w:p>
        </w:tc>
        <w:tc>
          <w:tcPr>
            <w:tcW w:w="1420" w:type="dxa"/>
            <w:shd w:val="clear" w:color="auto" w:fill="auto"/>
          </w:tcPr>
          <w:p>
            <w:pPr>
              <w:rPr>
                <w:sz w:val="24"/>
                <w:szCs w:val="24"/>
              </w:rPr>
            </w:pPr>
            <w:r>
              <w:rPr>
                <w:rFonts w:hint="eastAsia"/>
                <w:sz w:val="24"/>
                <w:szCs w:val="24"/>
              </w:rPr>
              <w:t>部门</w:t>
            </w:r>
          </w:p>
        </w:tc>
        <w:tc>
          <w:tcPr>
            <w:tcW w:w="1420" w:type="dxa"/>
            <w:shd w:val="clear" w:color="auto" w:fill="auto"/>
          </w:tcPr>
          <w:p>
            <w:pPr>
              <w:rPr>
                <w:sz w:val="24"/>
                <w:szCs w:val="24"/>
              </w:rPr>
            </w:pPr>
          </w:p>
        </w:tc>
        <w:tc>
          <w:tcPr>
            <w:tcW w:w="1421" w:type="dxa"/>
            <w:shd w:val="clear" w:color="auto" w:fill="auto"/>
          </w:tcPr>
          <w:p>
            <w:pPr>
              <w:rPr>
                <w:sz w:val="24"/>
                <w:szCs w:val="24"/>
              </w:rPr>
            </w:pPr>
            <w:r>
              <w:rPr>
                <w:rFonts w:hint="eastAsia"/>
                <w:sz w:val="24"/>
                <w:szCs w:val="24"/>
              </w:rPr>
              <w:t>职务</w:t>
            </w:r>
          </w:p>
        </w:tc>
        <w:tc>
          <w:tcPr>
            <w:tcW w:w="1421" w:type="dxa"/>
            <w:shd w:val="clear" w:color="auto" w:fill="auto"/>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shd w:val="clear" w:color="auto" w:fill="auto"/>
          </w:tcPr>
          <w:p>
            <w:pPr>
              <w:rPr>
                <w:sz w:val="24"/>
                <w:szCs w:val="24"/>
              </w:rPr>
            </w:pPr>
            <w:r>
              <w:rPr>
                <w:rFonts w:hint="eastAsia"/>
                <w:sz w:val="24"/>
                <w:szCs w:val="24"/>
              </w:rPr>
              <w:t xml:space="preserve">请假类别 ：■公假（产假、婚假、丧假、护理假、工伤假） ■事假                          </w:t>
            </w:r>
          </w:p>
          <w:p>
            <w:pPr>
              <w:ind w:left="1050" w:leftChars="500" w:firstLine="240" w:firstLineChars="100"/>
              <w:rPr>
                <w:sz w:val="24"/>
                <w:szCs w:val="24"/>
              </w:rPr>
            </w:pPr>
            <w:r>
              <w:rPr>
                <w:rFonts w:hint="eastAsia"/>
                <w:sz w:val="24"/>
                <w:szCs w:val="24"/>
              </w:rPr>
              <w:t>■病假（一天以上需医师证明）               ■其他（请说明）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shd w:val="clear" w:color="auto" w:fill="auto"/>
          </w:tcPr>
          <w:p>
            <w:pPr>
              <w:rPr>
                <w:sz w:val="24"/>
                <w:szCs w:val="24"/>
              </w:rPr>
            </w:pPr>
            <w:r>
              <w:rPr>
                <w:rFonts w:hint="eastAsia"/>
                <w:sz w:val="24"/>
                <w:szCs w:val="24"/>
              </w:rPr>
              <w:t>请假事由：</w:t>
            </w:r>
          </w:p>
          <w:p>
            <w:pPr>
              <w:rPr>
                <w:sz w:val="24"/>
                <w:szCs w:val="24"/>
              </w:rPr>
            </w:pPr>
          </w:p>
          <w:p>
            <w:pPr>
              <w:rPr>
                <w:sz w:val="24"/>
                <w:szCs w:val="24"/>
              </w:rPr>
            </w:pPr>
          </w:p>
          <w:p>
            <w:pPr>
              <w:rPr>
                <w:sz w:val="24"/>
                <w:szCs w:val="24"/>
              </w:rPr>
            </w:pPr>
            <w:r>
              <w:rPr>
                <w:rFonts w:hint="eastAsia"/>
                <w:sz w:val="24"/>
                <w:szCs w:val="24"/>
              </w:rPr>
              <w:t xml:space="preserve">                                            签字：</w:t>
            </w:r>
          </w:p>
          <w:p>
            <w:pPr>
              <w:rPr>
                <w:sz w:val="24"/>
                <w:szCs w:val="24"/>
              </w:rPr>
            </w:pPr>
            <w:r>
              <w:rPr>
                <w:rFonts w:hint="eastAsia"/>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8522" w:type="dxa"/>
            <w:gridSpan w:val="6"/>
            <w:shd w:val="clear" w:color="auto" w:fill="auto"/>
          </w:tcPr>
          <w:p>
            <w:pPr>
              <w:rPr>
                <w:sz w:val="24"/>
                <w:szCs w:val="24"/>
              </w:rPr>
            </w:pPr>
            <w:r>
              <w:rPr>
                <w:rFonts w:hint="eastAsia"/>
                <w:sz w:val="24"/>
                <w:szCs w:val="24"/>
              </w:rPr>
              <w:t>请假时间：自    年    月   日 至    年    月    日  总共请假     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4260" w:type="dxa"/>
            <w:gridSpan w:val="3"/>
            <w:shd w:val="clear" w:color="auto" w:fill="auto"/>
          </w:tcPr>
          <w:p>
            <w:pPr>
              <w:rPr>
                <w:sz w:val="24"/>
                <w:szCs w:val="24"/>
              </w:rPr>
            </w:pPr>
            <w:r>
              <w:rPr>
                <w:rFonts w:hint="eastAsia"/>
                <w:sz w:val="24"/>
                <w:szCs w:val="24"/>
              </w:rPr>
              <w:t>休假期间联系方式：</w:t>
            </w:r>
          </w:p>
        </w:tc>
        <w:tc>
          <w:tcPr>
            <w:tcW w:w="4262" w:type="dxa"/>
            <w:gridSpan w:val="3"/>
            <w:shd w:val="clear" w:color="auto" w:fill="auto"/>
          </w:tcPr>
          <w:p>
            <w:pPr>
              <w:rPr>
                <w:sz w:val="24"/>
                <w:szCs w:val="24"/>
              </w:rPr>
            </w:pPr>
            <w:r>
              <w:rPr>
                <w:rFonts w:hint="eastAsia"/>
                <w:sz w:val="24"/>
                <w:szCs w:val="24"/>
              </w:rPr>
              <w:t>休假期间工作委托人：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0" w:type="dxa"/>
            <w:gridSpan w:val="3"/>
            <w:shd w:val="clear" w:color="auto" w:fill="auto"/>
          </w:tcPr>
          <w:p>
            <w:pPr>
              <w:rPr>
                <w:sz w:val="24"/>
                <w:szCs w:val="24"/>
              </w:rPr>
            </w:pPr>
            <w:r>
              <w:rPr>
                <w:rFonts w:hint="eastAsia"/>
                <w:sz w:val="24"/>
                <w:szCs w:val="24"/>
              </w:rPr>
              <w:t>领导意见：</w:t>
            </w:r>
          </w:p>
          <w:p>
            <w:pPr>
              <w:rPr>
                <w:sz w:val="24"/>
                <w:szCs w:val="24"/>
              </w:rPr>
            </w:pPr>
          </w:p>
          <w:p>
            <w:pPr>
              <w:rPr>
                <w:sz w:val="24"/>
                <w:szCs w:val="24"/>
              </w:rPr>
            </w:pPr>
            <w:r>
              <w:rPr>
                <w:rFonts w:hint="eastAsia"/>
                <w:sz w:val="24"/>
                <w:szCs w:val="24"/>
              </w:rPr>
              <w:t xml:space="preserve">       </w:t>
            </w:r>
          </w:p>
          <w:p>
            <w:pPr>
              <w:rPr>
                <w:sz w:val="24"/>
                <w:szCs w:val="24"/>
              </w:rPr>
            </w:pPr>
            <w:r>
              <w:rPr>
                <w:rFonts w:hint="eastAsia"/>
                <w:sz w:val="24"/>
                <w:szCs w:val="24"/>
              </w:rPr>
              <w:t xml:space="preserve">                     负责人：</w:t>
            </w:r>
          </w:p>
          <w:p>
            <w:pPr>
              <w:rPr>
                <w:sz w:val="24"/>
                <w:szCs w:val="24"/>
              </w:rPr>
            </w:pPr>
            <w:r>
              <w:rPr>
                <w:rFonts w:hint="eastAsia"/>
                <w:sz w:val="24"/>
                <w:szCs w:val="24"/>
              </w:rPr>
              <w:t xml:space="preserve">                   年    月    日</w:t>
            </w:r>
          </w:p>
        </w:tc>
        <w:tc>
          <w:tcPr>
            <w:tcW w:w="4262" w:type="dxa"/>
            <w:gridSpan w:val="3"/>
            <w:shd w:val="clear" w:color="auto" w:fill="auto"/>
          </w:tcPr>
          <w:p>
            <w:pPr>
              <w:rPr>
                <w:sz w:val="24"/>
                <w:szCs w:val="24"/>
              </w:rPr>
            </w:pPr>
            <w:r>
              <w:rPr>
                <w:rFonts w:hint="eastAsia"/>
                <w:sz w:val="24"/>
                <w:szCs w:val="24"/>
              </w:rPr>
              <w:t>综合管理部意见：</w:t>
            </w:r>
          </w:p>
          <w:p>
            <w:pPr>
              <w:rPr>
                <w:sz w:val="24"/>
                <w:szCs w:val="24"/>
              </w:rPr>
            </w:pPr>
          </w:p>
          <w:p>
            <w:pPr>
              <w:rPr>
                <w:sz w:val="24"/>
                <w:szCs w:val="24"/>
              </w:rPr>
            </w:pPr>
          </w:p>
          <w:p>
            <w:pPr>
              <w:rPr>
                <w:sz w:val="24"/>
                <w:szCs w:val="24"/>
              </w:rPr>
            </w:pPr>
            <w:r>
              <w:rPr>
                <w:rFonts w:hint="eastAsia"/>
                <w:sz w:val="24"/>
                <w:szCs w:val="24"/>
              </w:rPr>
              <w:t xml:space="preserve">                    负责人：</w:t>
            </w:r>
          </w:p>
          <w:p>
            <w:pPr>
              <w:rPr>
                <w:sz w:val="24"/>
                <w:szCs w:val="24"/>
              </w:rPr>
            </w:pPr>
            <w:r>
              <w:rPr>
                <w:rFonts w:hint="eastAsia"/>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shd w:val="clear" w:color="auto" w:fill="auto"/>
          </w:tcPr>
          <w:p>
            <w:r>
              <w:rPr>
                <w:rFonts w:hint="eastAsia"/>
              </w:rPr>
              <w:t>说明：</w:t>
            </w:r>
          </w:p>
          <w:p>
            <w:r>
              <w:rPr>
                <w:rFonts w:hint="eastAsia"/>
              </w:rPr>
              <w:t>1.返回基金会报道时间为销假时间；</w:t>
            </w:r>
          </w:p>
          <w:p>
            <w:r>
              <w:rPr>
                <w:rFonts w:hint="eastAsia"/>
              </w:rPr>
              <w:t>2.所有员工请假须领导批准；</w:t>
            </w:r>
          </w:p>
          <w:p>
            <w:r>
              <w:rPr>
                <w:rFonts w:hint="eastAsia"/>
              </w:rPr>
              <w:t>3.本表存于综合管理部备案。</w:t>
            </w:r>
          </w:p>
        </w:tc>
      </w:tr>
    </w:tbl>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030E28"/>
    <w:multiLevelType w:val="singleLevel"/>
    <w:tmpl w:val="F7030E28"/>
    <w:lvl w:ilvl="0" w:tentative="0">
      <w:start w:val="1"/>
      <w:numFmt w:val="decimal"/>
      <w:lvlText w:val="%1."/>
      <w:lvlJc w:val="left"/>
      <w:pPr>
        <w:tabs>
          <w:tab w:val="left" w:pos="312"/>
        </w:tabs>
        <w:ind w:left="-60"/>
      </w:pPr>
    </w:lvl>
  </w:abstractNum>
  <w:abstractNum w:abstractNumId="1">
    <w:nsid w:val="2B3E167D"/>
    <w:multiLevelType w:val="multilevel"/>
    <w:tmpl w:val="2B3E167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F9E0FAC"/>
    <w:multiLevelType w:val="multilevel"/>
    <w:tmpl w:val="2F9E0FAC"/>
    <w:lvl w:ilvl="0" w:tentative="0">
      <w:start w:val="1"/>
      <w:numFmt w:val="japaneseCounting"/>
      <w:lvlText w:val="%1、"/>
      <w:lvlJc w:val="left"/>
      <w:pPr>
        <w:ind w:left="1586" w:hanging="1020"/>
      </w:pPr>
      <w:rPr>
        <w:rFonts w:hint="default"/>
      </w:rPr>
    </w:lvl>
    <w:lvl w:ilvl="1" w:tentative="0">
      <w:start w:val="1"/>
      <w:numFmt w:val="lowerLetter"/>
      <w:lvlText w:val="%2)"/>
      <w:lvlJc w:val="left"/>
      <w:pPr>
        <w:ind w:left="1406" w:hanging="420"/>
      </w:pPr>
    </w:lvl>
    <w:lvl w:ilvl="2" w:tentative="0">
      <w:start w:val="1"/>
      <w:numFmt w:val="lowerRoman"/>
      <w:lvlText w:val="%3."/>
      <w:lvlJc w:val="right"/>
      <w:pPr>
        <w:ind w:left="1826" w:hanging="420"/>
      </w:pPr>
    </w:lvl>
    <w:lvl w:ilvl="3" w:tentative="0">
      <w:start w:val="1"/>
      <w:numFmt w:val="decimal"/>
      <w:lvlText w:val="%4."/>
      <w:lvlJc w:val="left"/>
      <w:pPr>
        <w:ind w:left="2246" w:hanging="420"/>
      </w:pPr>
    </w:lvl>
    <w:lvl w:ilvl="4" w:tentative="0">
      <w:start w:val="1"/>
      <w:numFmt w:val="lowerLetter"/>
      <w:lvlText w:val="%5)"/>
      <w:lvlJc w:val="left"/>
      <w:pPr>
        <w:ind w:left="2666" w:hanging="420"/>
      </w:pPr>
    </w:lvl>
    <w:lvl w:ilvl="5" w:tentative="0">
      <w:start w:val="1"/>
      <w:numFmt w:val="lowerRoman"/>
      <w:lvlText w:val="%6."/>
      <w:lvlJc w:val="right"/>
      <w:pPr>
        <w:ind w:left="3086" w:hanging="420"/>
      </w:pPr>
    </w:lvl>
    <w:lvl w:ilvl="6" w:tentative="0">
      <w:start w:val="1"/>
      <w:numFmt w:val="decimal"/>
      <w:lvlText w:val="%7."/>
      <w:lvlJc w:val="left"/>
      <w:pPr>
        <w:ind w:left="3506" w:hanging="420"/>
      </w:pPr>
    </w:lvl>
    <w:lvl w:ilvl="7" w:tentative="0">
      <w:start w:val="1"/>
      <w:numFmt w:val="lowerLetter"/>
      <w:lvlText w:val="%8)"/>
      <w:lvlJc w:val="left"/>
      <w:pPr>
        <w:ind w:left="3926" w:hanging="420"/>
      </w:pPr>
    </w:lvl>
    <w:lvl w:ilvl="8" w:tentative="0">
      <w:start w:val="1"/>
      <w:numFmt w:val="lowerRoman"/>
      <w:lvlText w:val="%9."/>
      <w:lvlJc w:val="right"/>
      <w:pPr>
        <w:ind w:left="4346" w:hanging="420"/>
      </w:pPr>
    </w:lvl>
  </w:abstractNum>
  <w:abstractNum w:abstractNumId="3">
    <w:nsid w:val="3FF44826"/>
    <w:multiLevelType w:val="multilevel"/>
    <w:tmpl w:val="3FF448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14751E4"/>
    <w:multiLevelType w:val="multilevel"/>
    <w:tmpl w:val="514751E4"/>
    <w:lvl w:ilvl="0" w:tentative="0">
      <w:start w:val="1"/>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5">
    <w:nsid w:val="71FA49B5"/>
    <w:multiLevelType w:val="multilevel"/>
    <w:tmpl w:val="71FA49B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B3579FC"/>
    <w:multiLevelType w:val="multilevel"/>
    <w:tmpl w:val="7B3579F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4"/>
  </w:num>
  <w:num w:numId="4">
    <w:abstractNumId w:val="6"/>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kODZlN2ExNTUxNDc4ZTczZTc0ZjU3ZjVjZjZmYzQifQ=="/>
  </w:docVars>
  <w:rsids>
    <w:rsidRoot w:val="00EA1F98"/>
    <w:rsid w:val="00013739"/>
    <w:rsid w:val="00025A99"/>
    <w:rsid w:val="00031D33"/>
    <w:rsid w:val="00042F2B"/>
    <w:rsid w:val="00051337"/>
    <w:rsid w:val="00060912"/>
    <w:rsid w:val="000611B2"/>
    <w:rsid w:val="00070CAC"/>
    <w:rsid w:val="000930A2"/>
    <w:rsid w:val="000A377E"/>
    <w:rsid w:val="000B5790"/>
    <w:rsid w:val="000C4EA2"/>
    <w:rsid w:val="000D0001"/>
    <w:rsid w:val="000D7FAA"/>
    <w:rsid w:val="000E0946"/>
    <w:rsid w:val="001023A7"/>
    <w:rsid w:val="001254E1"/>
    <w:rsid w:val="00144EA2"/>
    <w:rsid w:val="00155C91"/>
    <w:rsid w:val="001570F0"/>
    <w:rsid w:val="00161A99"/>
    <w:rsid w:val="0016243B"/>
    <w:rsid w:val="00167D7F"/>
    <w:rsid w:val="00176FDE"/>
    <w:rsid w:val="00183F44"/>
    <w:rsid w:val="00196298"/>
    <w:rsid w:val="001A4460"/>
    <w:rsid w:val="001A51D6"/>
    <w:rsid w:val="001A7A9D"/>
    <w:rsid w:val="001B3817"/>
    <w:rsid w:val="001B5234"/>
    <w:rsid w:val="001C5742"/>
    <w:rsid w:val="001E590C"/>
    <w:rsid w:val="002001CA"/>
    <w:rsid w:val="00213AE7"/>
    <w:rsid w:val="00227589"/>
    <w:rsid w:val="002329C7"/>
    <w:rsid w:val="00250A88"/>
    <w:rsid w:val="0027001F"/>
    <w:rsid w:val="00274691"/>
    <w:rsid w:val="00280D94"/>
    <w:rsid w:val="00285754"/>
    <w:rsid w:val="00291FFD"/>
    <w:rsid w:val="002955AA"/>
    <w:rsid w:val="00296092"/>
    <w:rsid w:val="002A71BA"/>
    <w:rsid w:val="002B40E1"/>
    <w:rsid w:val="002D181E"/>
    <w:rsid w:val="0032080F"/>
    <w:rsid w:val="00330E64"/>
    <w:rsid w:val="0033140E"/>
    <w:rsid w:val="00344B61"/>
    <w:rsid w:val="00345142"/>
    <w:rsid w:val="003638C0"/>
    <w:rsid w:val="00383379"/>
    <w:rsid w:val="00387721"/>
    <w:rsid w:val="00392322"/>
    <w:rsid w:val="003C04D5"/>
    <w:rsid w:val="003C5A31"/>
    <w:rsid w:val="003C7E68"/>
    <w:rsid w:val="003E2C37"/>
    <w:rsid w:val="00424893"/>
    <w:rsid w:val="00426B01"/>
    <w:rsid w:val="0044476F"/>
    <w:rsid w:val="004679B3"/>
    <w:rsid w:val="00495436"/>
    <w:rsid w:val="004E0532"/>
    <w:rsid w:val="004F399D"/>
    <w:rsid w:val="004F4384"/>
    <w:rsid w:val="00501FB9"/>
    <w:rsid w:val="00505299"/>
    <w:rsid w:val="0051300C"/>
    <w:rsid w:val="005170F5"/>
    <w:rsid w:val="0053691D"/>
    <w:rsid w:val="00542644"/>
    <w:rsid w:val="00544F0C"/>
    <w:rsid w:val="005467D6"/>
    <w:rsid w:val="005519E6"/>
    <w:rsid w:val="00563118"/>
    <w:rsid w:val="00565B73"/>
    <w:rsid w:val="005767B5"/>
    <w:rsid w:val="005B5EEA"/>
    <w:rsid w:val="005C0F59"/>
    <w:rsid w:val="005D46FB"/>
    <w:rsid w:val="005E10F6"/>
    <w:rsid w:val="006206AF"/>
    <w:rsid w:val="00635B3E"/>
    <w:rsid w:val="0066024B"/>
    <w:rsid w:val="00663BE2"/>
    <w:rsid w:val="00667853"/>
    <w:rsid w:val="00686125"/>
    <w:rsid w:val="006951D1"/>
    <w:rsid w:val="006B2A69"/>
    <w:rsid w:val="006C036C"/>
    <w:rsid w:val="006C4C12"/>
    <w:rsid w:val="006D45A1"/>
    <w:rsid w:val="006D5717"/>
    <w:rsid w:val="006E3374"/>
    <w:rsid w:val="006E5C59"/>
    <w:rsid w:val="00712F10"/>
    <w:rsid w:val="00714EBA"/>
    <w:rsid w:val="00724240"/>
    <w:rsid w:val="00724E03"/>
    <w:rsid w:val="00725C13"/>
    <w:rsid w:val="00745723"/>
    <w:rsid w:val="00751933"/>
    <w:rsid w:val="007860EC"/>
    <w:rsid w:val="007B0873"/>
    <w:rsid w:val="007B39CF"/>
    <w:rsid w:val="007C1EBB"/>
    <w:rsid w:val="007C6820"/>
    <w:rsid w:val="007D376A"/>
    <w:rsid w:val="007F0D0D"/>
    <w:rsid w:val="007F47BF"/>
    <w:rsid w:val="007F5DC7"/>
    <w:rsid w:val="008177DB"/>
    <w:rsid w:val="008246E3"/>
    <w:rsid w:val="00837006"/>
    <w:rsid w:val="008435E4"/>
    <w:rsid w:val="00865073"/>
    <w:rsid w:val="00872A4B"/>
    <w:rsid w:val="00874570"/>
    <w:rsid w:val="00894AE9"/>
    <w:rsid w:val="008A26EA"/>
    <w:rsid w:val="008B3871"/>
    <w:rsid w:val="008B45F6"/>
    <w:rsid w:val="008F6AED"/>
    <w:rsid w:val="00902989"/>
    <w:rsid w:val="0090432D"/>
    <w:rsid w:val="00910756"/>
    <w:rsid w:val="00954C6A"/>
    <w:rsid w:val="0098205D"/>
    <w:rsid w:val="00992795"/>
    <w:rsid w:val="00995A48"/>
    <w:rsid w:val="009B4C34"/>
    <w:rsid w:val="009D0999"/>
    <w:rsid w:val="009D16B2"/>
    <w:rsid w:val="009D3FF3"/>
    <w:rsid w:val="009F5CC5"/>
    <w:rsid w:val="00A0090A"/>
    <w:rsid w:val="00A073B5"/>
    <w:rsid w:val="00A146AD"/>
    <w:rsid w:val="00A24190"/>
    <w:rsid w:val="00A56180"/>
    <w:rsid w:val="00A56EEF"/>
    <w:rsid w:val="00A5782D"/>
    <w:rsid w:val="00A61316"/>
    <w:rsid w:val="00A74A32"/>
    <w:rsid w:val="00A84BE7"/>
    <w:rsid w:val="00AA2F7D"/>
    <w:rsid w:val="00AA6A35"/>
    <w:rsid w:val="00AB5232"/>
    <w:rsid w:val="00AE6DB2"/>
    <w:rsid w:val="00B05A01"/>
    <w:rsid w:val="00B13690"/>
    <w:rsid w:val="00B247D8"/>
    <w:rsid w:val="00B25841"/>
    <w:rsid w:val="00B3247B"/>
    <w:rsid w:val="00B362C6"/>
    <w:rsid w:val="00B65359"/>
    <w:rsid w:val="00B71D2F"/>
    <w:rsid w:val="00B779B7"/>
    <w:rsid w:val="00BD1CFA"/>
    <w:rsid w:val="00BD3F7A"/>
    <w:rsid w:val="00BF1776"/>
    <w:rsid w:val="00BF3CC4"/>
    <w:rsid w:val="00BF4D91"/>
    <w:rsid w:val="00BF5859"/>
    <w:rsid w:val="00C17E70"/>
    <w:rsid w:val="00C33F25"/>
    <w:rsid w:val="00C43A35"/>
    <w:rsid w:val="00C51E1C"/>
    <w:rsid w:val="00C53CD9"/>
    <w:rsid w:val="00C928FD"/>
    <w:rsid w:val="00CA69C5"/>
    <w:rsid w:val="00CF71AA"/>
    <w:rsid w:val="00D031E6"/>
    <w:rsid w:val="00D229DF"/>
    <w:rsid w:val="00D26A12"/>
    <w:rsid w:val="00D45350"/>
    <w:rsid w:val="00D60004"/>
    <w:rsid w:val="00D603BC"/>
    <w:rsid w:val="00D609FC"/>
    <w:rsid w:val="00D628A0"/>
    <w:rsid w:val="00D6339F"/>
    <w:rsid w:val="00D6692C"/>
    <w:rsid w:val="00D8586F"/>
    <w:rsid w:val="00D913FA"/>
    <w:rsid w:val="00DC268A"/>
    <w:rsid w:val="00DC2C81"/>
    <w:rsid w:val="00DC40EA"/>
    <w:rsid w:val="00DE3520"/>
    <w:rsid w:val="00DE3891"/>
    <w:rsid w:val="00E17770"/>
    <w:rsid w:val="00E313F2"/>
    <w:rsid w:val="00E31593"/>
    <w:rsid w:val="00E3670A"/>
    <w:rsid w:val="00E40DAE"/>
    <w:rsid w:val="00E451EC"/>
    <w:rsid w:val="00E479BD"/>
    <w:rsid w:val="00E53140"/>
    <w:rsid w:val="00E57F95"/>
    <w:rsid w:val="00E901AF"/>
    <w:rsid w:val="00EA1F98"/>
    <w:rsid w:val="00EA280A"/>
    <w:rsid w:val="00EA774A"/>
    <w:rsid w:val="00EE12F7"/>
    <w:rsid w:val="00EE758F"/>
    <w:rsid w:val="00EF7DB5"/>
    <w:rsid w:val="00F272C7"/>
    <w:rsid w:val="00F40EC5"/>
    <w:rsid w:val="00F52638"/>
    <w:rsid w:val="00F628D8"/>
    <w:rsid w:val="00F82D80"/>
    <w:rsid w:val="00F84153"/>
    <w:rsid w:val="00FC264C"/>
    <w:rsid w:val="00FC5B6D"/>
    <w:rsid w:val="00FC6F76"/>
    <w:rsid w:val="00FD0FD6"/>
    <w:rsid w:val="00FD1E36"/>
    <w:rsid w:val="00FD32CF"/>
    <w:rsid w:val="00FD3515"/>
    <w:rsid w:val="00FE30AB"/>
    <w:rsid w:val="00FE3192"/>
    <w:rsid w:val="00FF0846"/>
    <w:rsid w:val="0D552482"/>
    <w:rsid w:val="16E93EBF"/>
    <w:rsid w:val="186D421A"/>
    <w:rsid w:val="187345BC"/>
    <w:rsid w:val="19414CB7"/>
    <w:rsid w:val="1A2B77F4"/>
    <w:rsid w:val="1D266050"/>
    <w:rsid w:val="1DB33977"/>
    <w:rsid w:val="1FF977B6"/>
    <w:rsid w:val="20205E1F"/>
    <w:rsid w:val="23A312DB"/>
    <w:rsid w:val="274255B7"/>
    <w:rsid w:val="2A10470D"/>
    <w:rsid w:val="2B8869B1"/>
    <w:rsid w:val="2CB57036"/>
    <w:rsid w:val="2D281971"/>
    <w:rsid w:val="2E3A6E7F"/>
    <w:rsid w:val="37F95366"/>
    <w:rsid w:val="3CF540B8"/>
    <w:rsid w:val="43650305"/>
    <w:rsid w:val="45DD5596"/>
    <w:rsid w:val="494C6420"/>
    <w:rsid w:val="4CB22BAD"/>
    <w:rsid w:val="4F333CE7"/>
    <w:rsid w:val="50B539A6"/>
    <w:rsid w:val="524F15CA"/>
    <w:rsid w:val="52BA6E34"/>
    <w:rsid w:val="53C03E02"/>
    <w:rsid w:val="5A5A5B4F"/>
    <w:rsid w:val="5A6453D2"/>
    <w:rsid w:val="5BBF4B78"/>
    <w:rsid w:val="5BE44120"/>
    <w:rsid w:val="5E0C577E"/>
    <w:rsid w:val="60E47FE6"/>
    <w:rsid w:val="610F35BE"/>
    <w:rsid w:val="673D6B88"/>
    <w:rsid w:val="67E65DCF"/>
    <w:rsid w:val="6F20448D"/>
    <w:rsid w:val="705D0B07"/>
    <w:rsid w:val="7097544F"/>
    <w:rsid w:val="72FC1633"/>
    <w:rsid w:val="75832CE9"/>
    <w:rsid w:val="7B38234C"/>
    <w:rsid w:val="7C216C13"/>
    <w:rsid w:val="7C59170A"/>
    <w:rsid w:val="7E350ABD"/>
    <w:rsid w:val="7E3C05ED"/>
    <w:rsid w:val="7E7318ED"/>
    <w:rsid w:val="7F021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13"/>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2"/>
    <w:basedOn w:val="1"/>
    <w:next w:val="1"/>
    <w:unhideWhenUsed/>
    <w:qFormat/>
    <w:uiPriority w:val="39"/>
    <w:pPr>
      <w:tabs>
        <w:tab w:val="right" w:leader="dot" w:pos="8296"/>
      </w:tabs>
      <w:spacing w:line="380" w:lineRule="exact"/>
      <w:ind w:left="420" w:leftChars="200"/>
    </w:pPr>
    <w:rPr>
      <w:rFonts w:ascii="黑体" w:hAnsi="黑体" w:eastAsia="黑体"/>
      <w:szCs w:val="21"/>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qFormat/>
    <w:uiPriority w:val="22"/>
    <w:rPr>
      <w:b/>
      <w:bCs/>
    </w:rPr>
  </w:style>
  <w:style w:type="character" w:styleId="12">
    <w:name w:val="Hyperlink"/>
    <w:basedOn w:val="10"/>
    <w:unhideWhenUsed/>
    <w:qFormat/>
    <w:uiPriority w:val="99"/>
    <w:rPr>
      <w:color w:val="0000FF" w:themeColor="hyperlink"/>
      <w:u w:val="single"/>
      <w14:textFill>
        <w14:solidFill>
          <w14:schemeClr w14:val="hlink"/>
        </w14:solidFill>
      </w14:textFill>
    </w:rPr>
  </w:style>
  <w:style w:type="character" w:customStyle="1" w:styleId="13">
    <w:name w:val="批注框文本 字符"/>
    <w:basedOn w:val="10"/>
    <w:link w:val="4"/>
    <w:semiHidden/>
    <w:qFormat/>
    <w:uiPriority w:val="99"/>
    <w:rPr>
      <w:sz w:val="18"/>
      <w:szCs w:val="18"/>
    </w:rPr>
  </w:style>
  <w:style w:type="character" w:customStyle="1" w:styleId="14">
    <w:name w:val="页眉 字符"/>
    <w:basedOn w:val="10"/>
    <w:link w:val="6"/>
    <w:qFormat/>
    <w:uiPriority w:val="99"/>
    <w:rPr>
      <w:sz w:val="18"/>
      <w:szCs w:val="18"/>
    </w:rPr>
  </w:style>
  <w:style w:type="character" w:customStyle="1" w:styleId="15">
    <w:name w:val="页脚 字符"/>
    <w:basedOn w:val="10"/>
    <w:link w:val="5"/>
    <w:qFormat/>
    <w:uiPriority w:val="99"/>
    <w:rPr>
      <w:sz w:val="18"/>
      <w:szCs w:val="18"/>
    </w:rPr>
  </w:style>
  <w:style w:type="paragraph" w:customStyle="1" w:styleId="16">
    <w:name w:val="列出段落1"/>
    <w:basedOn w:val="1"/>
    <w:qFormat/>
    <w:uiPriority w:val="34"/>
    <w:pPr>
      <w:adjustRightInd w:val="0"/>
      <w:spacing w:line="312" w:lineRule="atLeast"/>
      <w:ind w:firstLine="420" w:firstLineChars="200"/>
      <w:textAlignment w:val="baseline"/>
    </w:pPr>
    <w:rPr>
      <w:rFonts w:ascii="Times New Roman" w:hAnsi="Times New Roman" w:eastAsia="宋体" w:cs="Times New Roman"/>
      <w:kern w:val="0"/>
      <w:szCs w:val="20"/>
    </w:rPr>
  </w:style>
  <w:style w:type="paragraph" w:styleId="17">
    <w:name w:val="List Paragraph"/>
    <w:basedOn w:val="1"/>
    <w:qFormat/>
    <w:uiPriority w:val="34"/>
    <w:pPr>
      <w:ind w:firstLine="420" w:firstLineChars="200"/>
    </w:pPr>
  </w:style>
  <w:style w:type="character" w:customStyle="1" w:styleId="18">
    <w:name w:val="标题 1 字符"/>
    <w:basedOn w:val="10"/>
    <w:link w:val="2"/>
    <w:qFormat/>
    <w:uiPriority w:val="9"/>
    <w:rPr>
      <w:b/>
      <w:bCs/>
      <w:kern w:val="44"/>
      <w:sz w:val="44"/>
      <w:szCs w:val="44"/>
    </w:rPr>
  </w:style>
  <w:style w:type="paragraph" w:customStyle="1" w:styleId="19">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styleId="20">
    <w:name w:val="No Spacing"/>
    <w:link w:val="21"/>
    <w:qFormat/>
    <w:uiPriority w:val="1"/>
    <w:rPr>
      <w:rFonts w:asciiTheme="minorHAnsi" w:hAnsiTheme="minorHAnsi" w:eastAsiaTheme="minorEastAsia" w:cstheme="minorBidi"/>
      <w:kern w:val="0"/>
      <w:sz w:val="22"/>
      <w:szCs w:val="22"/>
      <w:lang w:val="en-US" w:eastAsia="zh-CN" w:bidi="ar-SA"/>
    </w:rPr>
  </w:style>
  <w:style w:type="character" w:customStyle="1" w:styleId="21">
    <w:name w:val="无间隔 字符"/>
    <w:basedOn w:val="10"/>
    <w:link w:val="20"/>
    <w:qFormat/>
    <w:uiPriority w:val="1"/>
    <w:rPr>
      <w:kern w:val="0"/>
      <w:sz w:val="22"/>
    </w:rPr>
  </w:style>
  <w:style w:type="paragraph" w:customStyle="1" w:styleId="22">
    <w:name w:val="列出段落11"/>
    <w:basedOn w:val="1"/>
    <w:qFormat/>
    <w:uiPriority w:val="0"/>
    <w:pPr>
      <w:ind w:firstLine="420" w:firstLineChars="200"/>
    </w:pPr>
    <w:rPr>
      <w:rFonts w:ascii="Calibri" w:hAnsi="Calibri" w:eastAsia="宋体" w:cs="Calibri"/>
      <w:szCs w:val="21"/>
    </w:rPr>
  </w:style>
  <w:style w:type="character" w:customStyle="1" w:styleId="23">
    <w:name w:val="apple-converted-space"/>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A2C700-0642-4C76-B075-0C2FC1AEFEBC}">
  <ds:schemaRefs/>
</ds:datastoreItem>
</file>

<file path=docProps/app.xml><?xml version="1.0" encoding="utf-8"?>
<Properties xmlns="http://schemas.openxmlformats.org/officeDocument/2006/extended-properties" xmlns:vt="http://schemas.openxmlformats.org/officeDocument/2006/docPropsVTypes">
  <Template>Normal</Template>
  <Pages>136</Pages>
  <Words>61011</Words>
  <Characters>65852</Characters>
  <Lines>517</Lines>
  <Paragraphs>145</Paragraphs>
  <TotalTime>8</TotalTime>
  <ScaleCrop>false</ScaleCrop>
  <LinksUpToDate>false</LinksUpToDate>
  <CharactersWithSpaces>68556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2014-11-15T08:55:00Z</dcterms:created>
  <dc:creator>yifang1</dc:creator>
  <cp:lastModifiedBy>仙</cp:lastModifiedBy>
  <cp:lastPrinted>2021-08-31T06:39:00Z</cp:lastPrinted>
  <dcterms:modified xsi:type="dcterms:W3CDTF">2023-06-15T07:19:06Z</dcterms:modified>
  <dc:title>北京天地文化发展基金会管理制度汇编</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89628275EE2D46A4B60EAEA336BE7DE3</vt:lpwstr>
  </property>
</Properties>
</file>