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autoSpaceDE/>
        <w:autoSpaceDN/>
        <w:bidi w:val="0"/>
        <w:adjustRightInd w:val="0"/>
        <w:snapToGrid w:val="0"/>
        <w:spacing w:line="241" w:lineRule="auto"/>
        <w:textAlignment w:val="baseline"/>
        <w:rPr>
          <w:rFonts w:ascii="Arial"/>
          <w:color w:val="auto"/>
          <w:sz w:val="21"/>
        </w:rPr>
      </w:pPr>
    </w:p>
    <w:p>
      <w:pPr>
        <w:keepNext w:val="0"/>
        <w:keepLines w:val="0"/>
        <w:pageBreakBefore w:val="0"/>
        <w:widowControl w:val="0"/>
        <w:kinsoku/>
        <w:wordWrap/>
        <w:overflowPunct/>
        <w:topLinePunct/>
        <w:autoSpaceDE/>
        <w:autoSpaceDN/>
        <w:bidi w:val="0"/>
        <w:adjustRightInd w:val="0"/>
        <w:snapToGrid w:val="0"/>
        <w:spacing w:before="87" w:line="222" w:lineRule="auto"/>
        <w:ind w:left="0" w:leftChars="0" w:firstLine="0" w:firstLineChars="0"/>
        <w:jc w:val="center"/>
        <w:textAlignment w:val="baseline"/>
        <w:rPr>
          <w:rFonts w:ascii="黑体" w:hAnsi="黑体" w:eastAsia="黑体" w:cs="黑体"/>
          <w:b/>
          <w:bCs/>
          <w:color w:val="auto"/>
          <w:spacing w:val="7"/>
          <w:sz w:val="44"/>
          <w:szCs w:val="44"/>
        </w:rPr>
      </w:pPr>
      <w:r>
        <w:rPr>
          <w:rFonts w:ascii="黑体" w:hAnsi="黑体" w:eastAsia="黑体" w:cs="黑体"/>
          <w:b/>
          <w:bCs/>
          <w:color w:val="auto"/>
          <w:spacing w:val="7"/>
          <w:sz w:val="44"/>
          <w:szCs w:val="44"/>
        </w:rPr>
        <w:t>北京天地文化发展基金会</w:t>
      </w:r>
    </w:p>
    <w:p>
      <w:pPr>
        <w:keepNext w:val="0"/>
        <w:keepLines w:val="0"/>
        <w:pageBreakBefore w:val="0"/>
        <w:widowControl w:val="0"/>
        <w:kinsoku/>
        <w:wordWrap/>
        <w:overflowPunct/>
        <w:topLinePunct/>
        <w:autoSpaceDE/>
        <w:autoSpaceDN/>
        <w:bidi w:val="0"/>
        <w:adjustRightInd w:val="0"/>
        <w:snapToGrid w:val="0"/>
        <w:spacing w:before="87" w:line="222" w:lineRule="auto"/>
        <w:ind w:left="0" w:leftChars="0" w:firstLine="0" w:firstLineChars="0"/>
        <w:jc w:val="center"/>
        <w:textAlignment w:val="baseline"/>
        <w:rPr>
          <w:rFonts w:ascii="Arial"/>
          <w:color w:val="auto"/>
          <w:sz w:val="21"/>
        </w:rPr>
      </w:pPr>
      <w:r>
        <w:rPr>
          <w:rFonts w:ascii="黑体" w:hAnsi="黑体" w:eastAsia="黑体" w:cs="黑体"/>
          <w:b/>
          <w:bCs/>
          <w:color w:val="auto"/>
          <w:spacing w:val="7"/>
          <w:sz w:val="44"/>
          <w:szCs w:val="44"/>
        </w:rPr>
        <w:t>人事管理制度</w:t>
      </w:r>
    </w:p>
    <w:p>
      <w:pPr>
        <w:keepNext w:val="0"/>
        <w:keepLines w:val="0"/>
        <w:pageBreakBefore w:val="0"/>
        <w:widowControl w:val="0"/>
        <w:kinsoku/>
        <w:wordWrap/>
        <w:overflowPunct/>
        <w:topLinePunct/>
        <w:autoSpaceDE/>
        <w:autoSpaceDN/>
        <w:bidi w:val="0"/>
        <w:adjustRightInd w:val="0"/>
        <w:snapToGrid w:val="0"/>
        <w:spacing w:line="274" w:lineRule="auto"/>
        <w:textAlignment w:val="baseline"/>
        <w:rPr>
          <w:rFonts w:ascii="Arial"/>
          <w:color w:val="auto"/>
          <w:sz w:val="21"/>
        </w:rPr>
      </w:pP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第一章 总  则</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第一条 为规范北京天地文化发展基金会(以下简称“基金会”)的人事管理，特制定本制度。</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pPr>
      <w:r>
        <w:rPr>
          <w:rFonts w:hint="eastAsia" w:asciiTheme="minorEastAsia" w:hAnsiTheme="minorEastAsia" w:eastAsiaTheme="minorEastAsia" w:cstheme="minorEastAsia"/>
          <w:sz w:val="28"/>
          <w:szCs w:val="28"/>
        </w:rPr>
        <w:t>第二条 本管理制度适用于基金会全体员工。</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第二章招聘面试</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第三条 基金会招聘，在基金会内部甄选或面向社会招聘，坚持“公开招聘，人岗匹配，择优录取，宁缺毋滥”的原则。</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第四条  招聘方式</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外部招聘：基金会宣传平台，相关行业网站，社会招聘网站，招</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聘会，校园招聘；</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内部招聘：内部员工推荐、自荐、内部选拔；</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对于没有不兼容职责的职位，基金会鼓励内部员工举贤荐能，有</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亲属关系的不回避，但需事先向人力资源部说明，报秘书长及运营总监讨论决定。违者将追究相关人员的责任。</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第五条  招聘程序</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由人力资源职能负责人统一组织和安排：</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1.通过招聘渠道发布招聘信息；</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筛选应聘资料，审查相关证件；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组织用人主管上级、秘书长进行面试、复试等；</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4.秘书长、副秘书长级别以下拟招聘人员由秘书长确定是否录用。秘书长、副秘书长的招聘由理事会复试并确定是否录用。</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第三章人事管理</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第六条  员工入职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由人力资源职能负责人建立员工档案：</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1.个人身份证原件，及电子扫描件；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2.原工作单位出具的已解除劳动关系证明函；</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员工本人开户的银行卡复印件；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.办理五险一金；入职时间在当月10日前，当月办理；在10日后，次月办理。</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第七条  劳动合同订立</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1.新招聘员工入职手续办理完毕后，与基金会签订书面劳动合同，劳动合同签订前双方需协商一致；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订立劳动合同文本应使用基金会统一印制的劳动合同文本，自双方签订之日起生效，录用备案后基金会与员工双方各执一份；</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劳动合同期限：基金会所有员工劳动合同期限为二年，试用期最长不超过三个月，与同一劳动者只能约定一次试用期：</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4.试用期</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(1)试用期绩效考核</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由新员工主管上级对其进行试用期管理，通过绩效完成情况、工作能力的提升、工作态度等进行考核，作为员工转正的重要依据。</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(2)转正</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试用期满前10个工作日由主管上级、秘书长审批同意，到期正式转正。</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第八条 劳动合同解除</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员工离职分合同到期自然中断劳动关系、解聘、员工辞职等情况：</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合同到期自然终止合同，基金会需在到期前一个月向员工发出书面的终止合同通知书；</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聘任期内，员工无法达到基金会规章制度的要求或是无法胜任本职工作；员工隐瞒疾病，身体健康状况不能从事本岗工作；员工有不良嗜好或者不良习气，影响基金会形象的；员工品行不端正，职业道德不规范的；员工屡次违反基金会劳动纪律、规章制度的；其他相关情况。经规劝和调整工作岗位仍不能满足要求的，由基金会解除劳动合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员工有辞职的权利，辞职需在正式离职前至少1个月向其主管上级及秘书长提出书面申请；主管上级应在收到申请的一周内与申请人谈话并 给出书面回复，规定辞职员工的工作移交和离职时间，离职时间最长不超过员工提交申请之日起三个月。</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第九条  离职交接</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员工离职前需办理交接手续；在手续全部完成后，方可办理人事档案、保险关系的调动。辞职人员不能亲自办理离职手续时，应寄回有关基金会物品，或请人代理交接工作。</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员工离职时，与行政负责人交接的工作内容：</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(1)基金会的文件资料 (纸质及电子版) 等；</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(2)经手的所有基金会项目资料及相关进度情况；</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(3)基金会价值在40 元以上的办公用品；</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(4)基金会门卡；</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(5)个人领用的基金会办公设备；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(6)其他属于基金会的财物。</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员工离职时，与财务部结算的内容：</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工资；</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应得到但尚未使用的休假补偿或加班补偿；</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应借应付款；</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黑体" w:hAnsi="黑体" w:eastAsia="黑体" w:cs="黑体"/>
          <w:b/>
          <w:bCs/>
          <w:color w:val="auto"/>
          <w:spacing w:val="-14"/>
          <w:sz w:val="27"/>
          <w:szCs w:val="27"/>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其他款项：如应扣除费用大于支付给员工的费用，则应在收回全部费用后才予办理最后手续。离职人员工资福利结算的截止日为正式离职日期。</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第四章员工续聘及调岗</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第十条  员工续聘</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员工劳动合同 到期前与其上级主管讨论决定是否续聘；如果续聘，需与员工本人协商，并在到期前一个月续签劳动合同。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第十一条 调整岗位</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因工作需要或员工无法胜任本职工作时，基金会可对其工作岗位进行调整；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ascii="Arial"/>
          <w:color w:val="auto"/>
          <w:sz w:val="21"/>
        </w:rPr>
      </w:pPr>
      <w:r>
        <w:rPr>
          <w:rFonts w:hint="eastAsia" w:asciiTheme="minorEastAsia" w:hAnsiTheme="minorEastAsia" w:eastAsiaTheme="minorEastAsia" w:cstheme="minorEastAsia"/>
          <w:sz w:val="28"/>
          <w:szCs w:val="28"/>
        </w:rPr>
        <w:t>2. 工作岗位被调整时员工的工资及其它待遇自调整的次月同时予以调整。</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第五章薪酬福利</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第十二条   薪酬的构成</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月收入分为工资及各种补贴；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在基金会领取以上薪酬的员工不得在其他项目里再领取任何报酬。</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第十三条   薪酬的发放</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每月10日发上月薪酬，遇休息日顺延；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薪酬发放采用银行卡自动转账方式。</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第十四条   薪酬的扣除</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下列费用，基金会可以从员工的薪酬中代扣或扣除：</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应由员工负担的各项社会保险及公积金费用；</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法律、法规、规章规定可以从员工薪酬中扣除的其他费用；</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因员工原因给基金会造成经济损失的，基金会按劳动合同或规章制度约定要求员工赔偿经济损失的；</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因各种假期而需扣除的薪酬。</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第十五条  各项补贴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基金会各项补贴每月随工资发放，不再单独计发：</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1.午餐补贴：员工在基金会上班可享受午餐补贴，各类休假期间不能领取该补贴；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ascii="Arial"/>
          <w:color w:val="auto"/>
          <w:sz w:val="21"/>
        </w:rPr>
      </w:pPr>
      <w:r>
        <w:rPr>
          <w:rFonts w:hint="eastAsia" w:asciiTheme="minorEastAsia" w:hAnsiTheme="minorEastAsia" w:eastAsiaTheme="minorEastAsia" w:cstheme="minorEastAsia"/>
          <w:sz w:val="28"/>
          <w:szCs w:val="28"/>
        </w:rPr>
        <w:t>2.通讯补贴：按年度总额进行统筹。</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第六章考勤休假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第十六条  工时制度</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基金会依法实行标准工时制度，员工每周工作5天，每天工作8小时。基金会可以根据经营管理需要对工作时间安排进行适时调整。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第十七条  工作时间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1.工作时间：09:30</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18:30;</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2.午餐及午休时间为1小时，不计入工作时间。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第十八条 超时工作</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1.超时工作包括公休日的加班和法定节假日的加班；</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2.基金会各职能负责人应当合理安排工作，尽量避免或减少超时工作， 以保障员工的身体健康。若确因需要或任务紧急，基金会可以依法安排员工超时工作。超时工作时间每月不得超过36个小时；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3.员工因工作原因确需加班的，应当按照规定履行审批手续，经确认的加班，基金会将依法安排倒休；</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4.以下情形不视为超时工作：</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(1)基金会在非工作时间安排的、员工自愿参加的培训；</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(2)未经基金会安排或批准的超时工作；</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(3)员工在非工作时间自愿来基金会。</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第十九条  超时工作补偿</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1.公休日加班，基金会应及时安排同等时间的倒休；倒休自加班当月算起，3个月内有效；</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2.因客观原因工作日延时工作，不计为加班，超过20:00的第二天晚到不计为迟到。</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第二十条  休假的类别</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所有员工都能享受的法定节假日：</w:t>
      </w:r>
    </w:p>
    <w:p>
      <w:pPr>
        <w:keepNext w:val="0"/>
        <w:keepLines w:val="0"/>
        <w:pageBreakBefore w:val="0"/>
        <w:widowControl w:val="0"/>
        <w:kinsoku/>
        <w:wordWrap/>
        <w:overflowPunct/>
        <w:topLinePunct/>
        <w:autoSpaceDE/>
        <w:autoSpaceDN/>
        <w:bidi w:val="0"/>
        <w:adjustRightInd w:val="0"/>
        <w:snapToGrid w:val="0"/>
        <w:spacing w:line="118" w:lineRule="exact"/>
        <w:textAlignment w:val="baseline"/>
        <w:rPr>
          <w:color w:val="auto"/>
        </w:rPr>
      </w:pPr>
    </w:p>
    <w:tbl>
      <w:tblPr>
        <w:tblStyle w:val="4"/>
        <w:tblW w:w="6459" w:type="dxa"/>
        <w:tblInd w:w="1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7"/>
        <w:gridCol w:w="1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5037" w:type="dxa"/>
            <w:shd w:val="clear" w:color="auto" w:fill="DFDFE5"/>
            <w:vAlign w:val="top"/>
          </w:tcPr>
          <w:p>
            <w:pPr>
              <w:keepNext w:val="0"/>
              <w:keepLines w:val="0"/>
              <w:pageBreakBefore w:val="0"/>
              <w:widowControl w:val="0"/>
              <w:kinsoku/>
              <w:wordWrap/>
              <w:overflowPunct/>
              <w:topLinePunct/>
              <w:autoSpaceDE/>
              <w:autoSpaceDN/>
              <w:bidi w:val="0"/>
              <w:adjustRightInd w:val="0"/>
              <w:snapToGrid w:val="0"/>
              <w:spacing w:before="90" w:line="219" w:lineRule="auto"/>
              <w:ind w:left="1788"/>
              <w:textAlignment w:val="baseline"/>
              <w:rPr>
                <w:rFonts w:ascii="宋体" w:hAnsi="宋体" w:eastAsia="宋体" w:cs="宋体"/>
                <w:color w:val="auto"/>
                <w:sz w:val="28"/>
                <w:szCs w:val="28"/>
              </w:rPr>
            </w:pPr>
            <w:r>
              <w:rPr>
                <w:rFonts w:ascii="宋体" w:hAnsi="宋体" w:eastAsia="宋体" w:cs="宋体"/>
                <w:b/>
                <w:bCs/>
                <w:color w:val="auto"/>
                <w:spacing w:val="5"/>
                <w:sz w:val="28"/>
                <w:szCs w:val="28"/>
              </w:rPr>
              <w:t>法定节假日</w:t>
            </w:r>
          </w:p>
        </w:tc>
        <w:tc>
          <w:tcPr>
            <w:tcW w:w="1422" w:type="dxa"/>
            <w:shd w:val="clear" w:color="auto" w:fill="DFDFE6"/>
            <w:vAlign w:val="top"/>
          </w:tcPr>
          <w:p>
            <w:pPr>
              <w:keepNext w:val="0"/>
              <w:keepLines w:val="0"/>
              <w:pageBreakBefore w:val="0"/>
              <w:widowControl w:val="0"/>
              <w:kinsoku/>
              <w:wordWrap/>
              <w:overflowPunct/>
              <w:topLinePunct/>
              <w:autoSpaceDE/>
              <w:autoSpaceDN/>
              <w:bidi w:val="0"/>
              <w:adjustRightInd w:val="0"/>
              <w:snapToGrid w:val="0"/>
              <w:spacing w:before="90" w:line="219" w:lineRule="auto"/>
              <w:ind w:left="151"/>
              <w:textAlignment w:val="baseline"/>
              <w:rPr>
                <w:rFonts w:ascii="宋体" w:hAnsi="宋体" w:eastAsia="宋体" w:cs="宋体"/>
                <w:color w:val="auto"/>
                <w:sz w:val="28"/>
                <w:szCs w:val="28"/>
              </w:rPr>
            </w:pPr>
            <w:r>
              <w:rPr>
                <w:rFonts w:ascii="宋体" w:hAnsi="宋体" w:eastAsia="宋体" w:cs="宋体"/>
                <w:b/>
                <w:bCs/>
                <w:color w:val="auto"/>
                <w:spacing w:val="-5"/>
                <w:sz w:val="28"/>
                <w:szCs w:val="28"/>
              </w:rPr>
              <w:t>假期天数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93" w:line="219" w:lineRule="auto"/>
              <w:ind w:left="4"/>
              <w:textAlignment w:val="baseline"/>
              <w:rPr>
                <w:rFonts w:ascii="宋体" w:hAnsi="宋体" w:eastAsia="宋体" w:cs="宋体"/>
                <w:color w:val="auto"/>
                <w:sz w:val="28"/>
                <w:szCs w:val="28"/>
              </w:rPr>
            </w:pPr>
            <w:r>
              <w:rPr>
                <w:rFonts w:ascii="宋体" w:hAnsi="宋体" w:eastAsia="宋体" w:cs="宋体"/>
                <w:color w:val="auto"/>
                <w:spacing w:val="1"/>
                <w:sz w:val="28"/>
                <w:szCs w:val="28"/>
              </w:rPr>
              <w:t>元旦(1月1日)1天</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63" w:line="188" w:lineRule="auto"/>
              <w:ind w:left="497"/>
              <w:textAlignment w:val="baseline"/>
              <w:rPr>
                <w:rFonts w:ascii="宋体" w:hAnsi="宋体" w:eastAsia="宋体" w:cs="宋体"/>
                <w:color w:val="auto"/>
                <w:sz w:val="28"/>
                <w:szCs w:val="28"/>
              </w:rPr>
            </w:pPr>
            <w:r>
              <w:rPr>
                <w:rFonts w:ascii="宋体" w:hAnsi="宋体" w:eastAsia="宋体" w:cs="宋体"/>
                <w:color w:val="auto"/>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104" w:line="219" w:lineRule="auto"/>
              <w:ind w:left="4"/>
              <w:textAlignment w:val="baseline"/>
              <w:rPr>
                <w:rFonts w:ascii="宋体" w:hAnsi="宋体" w:eastAsia="宋体" w:cs="宋体"/>
                <w:color w:val="auto"/>
                <w:sz w:val="28"/>
                <w:szCs w:val="28"/>
              </w:rPr>
            </w:pPr>
            <w:r>
              <w:rPr>
                <w:rFonts w:ascii="宋体" w:hAnsi="宋体" w:eastAsia="宋体" w:cs="宋体"/>
                <w:color w:val="auto"/>
                <w:sz w:val="28"/>
                <w:szCs w:val="28"/>
              </w:rPr>
              <w:t>春节(农历除夕、初一、初二)</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85" w:line="193" w:lineRule="auto"/>
              <w:ind w:left="497"/>
              <w:textAlignment w:val="baseline"/>
              <w:rPr>
                <w:rFonts w:ascii="宋体" w:hAnsi="宋体" w:eastAsia="宋体" w:cs="宋体"/>
                <w:color w:val="auto"/>
                <w:sz w:val="28"/>
                <w:szCs w:val="28"/>
              </w:rPr>
            </w:pPr>
            <w:r>
              <w:rPr>
                <w:rFonts w:ascii="宋体" w:hAnsi="宋体" w:eastAsia="宋体" w:cs="宋体"/>
                <w:color w:val="auto"/>
                <w:spacing w:val="6"/>
                <w:sz w:val="28"/>
                <w:szCs w:val="28"/>
              </w:rPr>
              <w:t>3天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106" w:line="219" w:lineRule="auto"/>
              <w:ind w:left="4"/>
              <w:textAlignment w:val="baseline"/>
              <w:rPr>
                <w:rFonts w:ascii="宋体" w:hAnsi="宋体" w:eastAsia="宋体" w:cs="宋体"/>
                <w:color w:val="auto"/>
                <w:sz w:val="28"/>
                <w:szCs w:val="28"/>
              </w:rPr>
            </w:pPr>
            <w:r>
              <w:rPr>
                <w:rFonts w:ascii="宋体" w:hAnsi="宋体" w:eastAsia="宋体" w:cs="宋体"/>
                <w:color w:val="auto"/>
                <w:spacing w:val="5"/>
                <w:sz w:val="28"/>
                <w:szCs w:val="28"/>
              </w:rPr>
              <w:t>清明节(农历清明当日)</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77" w:line="192" w:lineRule="auto"/>
              <w:ind w:left="497"/>
              <w:textAlignment w:val="baseline"/>
              <w:rPr>
                <w:rFonts w:ascii="宋体" w:hAnsi="宋体" w:eastAsia="宋体" w:cs="宋体"/>
                <w:color w:val="auto"/>
                <w:sz w:val="28"/>
                <w:szCs w:val="28"/>
              </w:rPr>
            </w:pPr>
            <w:r>
              <w:rPr>
                <w:rFonts w:ascii="宋体" w:hAnsi="宋体" w:eastAsia="宋体" w:cs="宋体"/>
                <w:color w:val="auto"/>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97" w:line="219" w:lineRule="auto"/>
              <w:ind w:left="4"/>
              <w:textAlignment w:val="baseline"/>
              <w:rPr>
                <w:rFonts w:ascii="宋体" w:hAnsi="宋体" w:eastAsia="宋体" w:cs="宋体"/>
                <w:color w:val="auto"/>
                <w:sz w:val="28"/>
                <w:szCs w:val="28"/>
              </w:rPr>
            </w:pPr>
            <w:r>
              <w:rPr>
                <w:rFonts w:ascii="宋体" w:hAnsi="宋体" w:eastAsia="宋体" w:cs="宋体"/>
                <w:color w:val="auto"/>
                <w:spacing w:val="6"/>
                <w:sz w:val="28"/>
                <w:szCs w:val="28"/>
              </w:rPr>
              <w:t>劳动节(5月1日)</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48" w:line="205" w:lineRule="auto"/>
              <w:ind w:left="497"/>
              <w:textAlignment w:val="baseline"/>
              <w:rPr>
                <w:rFonts w:ascii="宋体" w:hAnsi="宋体" w:eastAsia="宋体" w:cs="宋体"/>
                <w:color w:val="auto"/>
                <w:sz w:val="28"/>
                <w:szCs w:val="28"/>
              </w:rPr>
            </w:pPr>
            <w:r>
              <w:rPr>
                <w:rFonts w:ascii="宋体" w:hAnsi="宋体" w:eastAsia="宋体" w:cs="宋体"/>
                <w:color w:val="auto"/>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108" w:line="219" w:lineRule="auto"/>
              <w:ind w:left="4"/>
              <w:textAlignment w:val="baseline"/>
              <w:rPr>
                <w:rFonts w:ascii="宋体" w:hAnsi="宋体" w:eastAsia="宋体" w:cs="宋体"/>
                <w:color w:val="auto"/>
                <w:sz w:val="28"/>
                <w:szCs w:val="28"/>
              </w:rPr>
            </w:pPr>
            <w:r>
              <w:rPr>
                <w:rFonts w:ascii="宋体" w:hAnsi="宋体" w:eastAsia="宋体" w:cs="宋体"/>
                <w:color w:val="auto"/>
                <w:spacing w:val="5"/>
                <w:sz w:val="28"/>
                <w:szCs w:val="28"/>
              </w:rPr>
              <w:t>端午节(农历端午当日)</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79" w:line="191" w:lineRule="auto"/>
              <w:ind w:left="497"/>
              <w:textAlignment w:val="baseline"/>
              <w:rPr>
                <w:rFonts w:ascii="宋体" w:hAnsi="宋体" w:eastAsia="宋体" w:cs="宋体"/>
                <w:color w:val="auto"/>
                <w:sz w:val="28"/>
                <w:szCs w:val="28"/>
              </w:rPr>
            </w:pPr>
            <w:r>
              <w:rPr>
                <w:rFonts w:ascii="宋体" w:hAnsi="宋体" w:eastAsia="宋体" w:cs="宋体"/>
                <w:color w:val="auto"/>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100" w:line="220" w:lineRule="auto"/>
              <w:ind w:left="4"/>
              <w:textAlignment w:val="baseline"/>
              <w:rPr>
                <w:rFonts w:ascii="宋体" w:hAnsi="宋体" w:eastAsia="宋体" w:cs="宋体"/>
                <w:color w:val="auto"/>
                <w:sz w:val="28"/>
                <w:szCs w:val="28"/>
              </w:rPr>
            </w:pPr>
            <w:r>
              <w:rPr>
                <w:rFonts w:ascii="宋体" w:hAnsi="宋体" w:eastAsia="宋体" w:cs="宋体"/>
                <w:color w:val="auto"/>
                <w:spacing w:val="5"/>
                <w:sz w:val="28"/>
                <w:szCs w:val="28"/>
              </w:rPr>
              <w:t>中秋节(农历中秋当日)</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79" w:line="191" w:lineRule="auto"/>
              <w:ind w:left="497"/>
              <w:textAlignment w:val="baseline"/>
              <w:rPr>
                <w:rFonts w:ascii="宋体" w:hAnsi="宋体" w:eastAsia="宋体" w:cs="宋体"/>
                <w:color w:val="auto"/>
                <w:sz w:val="27"/>
                <w:szCs w:val="27"/>
              </w:rPr>
            </w:pPr>
            <w:r>
              <w:rPr>
                <w:rFonts w:ascii="宋体" w:hAnsi="宋体" w:eastAsia="宋体" w:cs="宋体"/>
                <w:color w:val="auto"/>
                <w:spacing w:val="14"/>
                <w:sz w:val="27"/>
                <w:szCs w:val="27"/>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5037" w:type="dxa"/>
            <w:vAlign w:val="top"/>
          </w:tcPr>
          <w:p>
            <w:pPr>
              <w:keepNext w:val="0"/>
              <w:keepLines w:val="0"/>
              <w:pageBreakBefore w:val="0"/>
              <w:widowControl w:val="0"/>
              <w:kinsoku/>
              <w:wordWrap/>
              <w:overflowPunct/>
              <w:topLinePunct/>
              <w:autoSpaceDE/>
              <w:autoSpaceDN/>
              <w:bidi w:val="0"/>
              <w:adjustRightInd w:val="0"/>
              <w:snapToGrid w:val="0"/>
              <w:spacing w:before="100" w:line="219" w:lineRule="auto"/>
              <w:ind w:left="4"/>
              <w:textAlignment w:val="baseline"/>
              <w:rPr>
                <w:rFonts w:ascii="宋体" w:hAnsi="宋体" w:eastAsia="宋体" w:cs="宋体"/>
                <w:color w:val="auto"/>
                <w:sz w:val="28"/>
                <w:szCs w:val="28"/>
              </w:rPr>
            </w:pPr>
            <w:r>
              <w:rPr>
                <w:rFonts w:ascii="宋体" w:hAnsi="宋体" w:eastAsia="宋体" w:cs="宋体"/>
                <w:color w:val="auto"/>
                <w:spacing w:val="3"/>
                <w:sz w:val="28"/>
                <w:szCs w:val="28"/>
              </w:rPr>
              <w:t>国庆节(10月1日、2日、3日</w:t>
            </w:r>
          </w:p>
        </w:tc>
        <w:tc>
          <w:tcPr>
            <w:tcW w:w="1422" w:type="dxa"/>
            <w:vAlign w:val="top"/>
          </w:tcPr>
          <w:p>
            <w:pPr>
              <w:keepNext w:val="0"/>
              <w:keepLines w:val="0"/>
              <w:pageBreakBefore w:val="0"/>
              <w:widowControl w:val="0"/>
              <w:kinsoku/>
              <w:wordWrap/>
              <w:overflowPunct/>
              <w:topLinePunct/>
              <w:autoSpaceDE/>
              <w:autoSpaceDN/>
              <w:bidi w:val="0"/>
              <w:adjustRightInd w:val="0"/>
              <w:snapToGrid w:val="0"/>
              <w:spacing w:before="153" w:line="204" w:lineRule="auto"/>
              <w:ind w:left="497"/>
              <w:textAlignment w:val="baseline"/>
              <w:rPr>
                <w:rFonts w:ascii="宋体" w:hAnsi="宋体" w:eastAsia="宋体" w:cs="宋体"/>
                <w:color w:val="auto"/>
                <w:sz w:val="28"/>
                <w:szCs w:val="28"/>
              </w:rPr>
            </w:pPr>
            <w:r>
              <w:rPr>
                <w:rFonts w:ascii="宋体" w:hAnsi="宋体" w:eastAsia="宋体" w:cs="宋体"/>
                <w:color w:val="auto"/>
                <w:spacing w:val="8"/>
                <w:sz w:val="28"/>
                <w:szCs w:val="28"/>
              </w:rPr>
              <w:t>3夭</w:t>
            </w:r>
          </w:p>
        </w:tc>
      </w:tr>
    </w:tbl>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具体的休假方法按照当年国家规定执行。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带薪休假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员工在基金会工作期间，可以享受带薪病假、年假、倒休假、婚假、丧假、产前检查假、围产假、产假、哺乳假、工伤假、计划生育假等带薪休假。 带薪病假、年假、倒休假、婚假、丧假休假天数按工作日计算；其他带薪休假天数按自然日连续计算，包含公休日和法定节假日</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带薪病假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员工因生病需要休息，可申请带薪病假。每年最多有6天带薪病假，超出6 天按病假处理。</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连续两个工作日以上(不含两个工作日)必须提供医疗机构开具的病假证明。</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4.病假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(1)员工因病需要休养，超出带薪病假天数，可以申请病假。连续两个工作日以上(不含两个工作日) 必须提供医疗机构开具的病假证明。</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( 2)员工患有严重疾病，需长期休养者，必须出具医务部门的证明，经审批权人确认批准，按相应工作年限的医疗期休养，病假医疗期的具体规定如下：</w:t>
      </w:r>
    </w:p>
    <w:p>
      <w:pPr>
        <w:keepNext w:val="0"/>
        <w:keepLines w:val="0"/>
        <w:pageBreakBefore w:val="0"/>
        <w:widowControl w:val="0"/>
        <w:kinsoku/>
        <w:wordWrap/>
        <w:overflowPunct/>
        <w:topLinePunct/>
        <w:autoSpaceDE/>
        <w:autoSpaceDN/>
        <w:bidi w:val="0"/>
        <w:adjustRightInd w:val="0"/>
        <w:snapToGrid w:val="0"/>
        <w:spacing w:line="131" w:lineRule="exact"/>
        <w:textAlignment w:val="baseline"/>
        <w:rPr>
          <w:color w:val="auto"/>
        </w:rPr>
      </w:pPr>
    </w:p>
    <w:tbl>
      <w:tblPr>
        <w:tblStyle w:val="4"/>
        <w:tblW w:w="6650" w:type="dxa"/>
        <w:tblInd w:w="11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1"/>
        <w:gridCol w:w="1987"/>
        <w:gridCol w:w="2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95" w:line="219" w:lineRule="auto"/>
              <w:ind w:left="64"/>
              <w:textAlignment w:val="baseline"/>
              <w:rPr>
                <w:rFonts w:ascii="宋体" w:hAnsi="宋体" w:eastAsia="宋体" w:cs="宋体"/>
                <w:color w:val="auto"/>
                <w:sz w:val="29"/>
                <w:szCs w:val="29"/>
              </w:rPr>
            </w:pPr>
            <w:r>
              <w:rPr>
                <w:rFonts w:ascii="宋体" w:hAnsi="宋体" w:eastAsia="宋体" w:cs="宋体"/>
                <w:color w:val="auto"/>
                <w:spacing w:val="1"/>
                <w:sz w:val="29"/>
                <w:szCs w:val="29"/>
              </w:rPr>
              <w:t>本基金会工作年限</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65" w:line="190" w:lineRule="auto"/>
              <w:ind w:left="263"/>
              <w:textAlignment w:val="baseline"/>
              <w:rPr>
                <w:rFonts w:ascii="宋体" w:hAnsi="宋体" w:eastAsia="宋体" w:cs="宋体"/>
                <w:color w:val="auto"/>
                <w:sz w:val="29"/>
                <w:szCs w:val="29"/>
              </w:rPr>
            </w:pPr>
            <w:r>
              <w:rPr>
                <w:rFonts w:ascii="宋体" w:hAnsi="宋体" w:eastAsia="宋体" w:cs="宋体"/>
                <w:color w:val="auto"/>
                <w:spacing w:val="3"/>
                <w:sz w:val="29"/>
                <w:szCs w:val="29"/>
              </w:rPr>
              <w:t>病假医疗期</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97" w:line="219" w:lineRule="auto"/>
              <w:ind w:left="177"/>
              <w:textAlignment w:val="baseline"/>
              <w:rPr>
                <w:rFonts w:ascii="宋体" w:hAnsi="宋体" w:eastAsia="宋体" w:cs="宋体"/>
                <w:color w:val="auto"/>
                <w:sz w:val="29"/>
                <w:szCs w:val="29"/>
              </w:rPr>
            </w:pPr>
            <w:r>
              <w:rPr>
                <w:rFonts w:ascii="宋体" w:hAnsi="宋体" w:eastAsia="宋体" w:cs="宋体"/>
                <w:color w:val="auto"/>
                <w:spacing w:val="4"/>
                <w:sz w:val="29"/>
                <w:szCs w:val="29"/>
              </w:rPr>
              <w:t>累计病休时间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81" w:line="189" w:lineRule="auto"/>
              <w:ind w:left="64"/>
              <w:textAlignment w:val="baseline"/>
              <w:rPr>
                <w:rFonts w:ascii="宋体" w:hAnsi="宋体" w:eastAsia="宋体" w:cs="宋体"/>
                <w:color w:val="auto"/>
                <w:sz w:val="27"/>
                <w:szCs w:val="27"/>
              </w:rPr>
            </w:pPr>
            <w:r>
              <w:rPr>
                <w:rFonts w:ascii="宋体" w:hAnsi="宋体" w:eastAsia="宋体" w:cs="宋体"/>
                <w:color w:val="auto"/>
                <w:spacing w:val="7"/>
                <w:sz w:val="27"/>
                <w:szCs w:val="27"/>
              </w:rPr>
              <w:t>Y&lt;5</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53" w:line="194" w:lineRule="auto"/>
              <w:ind w:left="623"/>
              <w:textAlignment w:val="baseline"/>
              <w:rPr>
                <w:rFonts w:ascii="宋体" w:hAnsi="宋体" w:eastAsia="宋体" w:cs="宋体"/>
                <w:color w:val="auto"/>
                <w:sz w:val="29"/>
                <w:szCs w:val="29"/>
              </w:rPr>
            </w:pPr>
            <w:r>
              <w:rPr>
                <w:rFonts w:ascii="宋体" w:hAnsi="宋体" w:eastAsia="宋体" w:cs="宋体"/>
                <w:color w:val="auto"/>
                <w:spacing w:val="17"/>
                <w:sz w:val="29"/>
                <w:szCs w:val="29"/>
              </w:rPr>
              <w:t>3个月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62" w:line="188" w:lineRule="auto"/>
              <w:ind w:left="686"/>
              <w:textAlignment w:val="baseline"/>
              <w:rPr>
                <w:rFonts w:ascii="宋体" w:hAnsi="宋体" w:eastAsia="宋体" w:cs="宋体"/>
                <w:color w:val="auto"/>
                <w:sz w:val="29"/>
                <w:szCs w:val="29"/>
              </w:rPr>
            </w:pPr>
            <w:r>
              <w:rPr>
                <w:rFonts w:ascii="宋体" w:hAnsi="宋体" w:eastAsia="宋体" w:cs="宋体"/>
                <w:color w:val="auto"/>
                <w:spacing w:val="17"/>
                <w:sz w:val="29"/>
                <w:szCs w:val="29"/>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74" w:line="228" w:lineRule="auto"/>
              <w:ind w:left="64"/>
              <w:textAlignment w:val="baseline"/>
              <w:rPr>
                <w:rFonts w:ascii="宋体" w:hAnsi="宋体" w:eastAsia="宋体" w:cs="宋体"/>
                <w:color w:val="auto"/>
                <w:sz w:val="23"/>
                <w:szCs w:val="23"/>
              </w:rPr>
            </w:pPr>
            <w:r>
              <w:rPr>
                <w:rFonts w:ascii="宋体" w:hAnsi="宋体" w:eastAsia="宋体" w:cs="宋体"/>
                <w:color w:val="auto"/>
                <w:spacing w:val="-2"/>
                <w:sz w:val="23"/>
                <w:szCs w:val="23"/>
              </w:rPr>
              <w:t>Y≥5</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65" w:line="187" w:lineRule="auto"/>
              <w:ind w:left="623"/>
              <w:textAlignment w:val="baseline"/>
              <w:rPr>
                <w:rFonts w:ascii="宋体" w:hAnsi="宋体" w:eastAsia="宋体" w:cs="宋体"/>
                <w:color w:val="auto"/>
                <w:sz w:val="29"/>
                <w:szCs w:val="29"/>
              </w:rPr>
            </w:pPr>
            <w:r>
              <w:rPr>
                <w:rFonts w:ascii="宋体" w:hAnsi="宋体" w:eastAsia="宋体" w:cs="宋体"/>
                <w:color w:val="auto"/>
                <w:spacing w:val="17"/>
                <w:sz w:val="29"/>
                <w:szCs w:val="29"/>
              </w:rPr>
              <w:t>6个月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65" w:line="187" w:lineRule="auto"/>
              <w:ind w:left="616"/>
              <w:textAlignment w:val="baseline"/>
              <w:rPr>
                <w:rFonts w:ascii="宋体" w:hAnsi="宋体" w:eastAsia="宋体" w:cs="宋体"/>
                <w:color w:val="auto"/>
                <w:sz w:val="29"/>
                <w:szCs w:val="29"/>
              </w:rPr>
            </w:pPr>
            <w:r>
              <w:rPr>
                <w:rFonts w:ascii="宋体" w:hAnsi="宋体" w:eastAsia="宋体" w:cs="宋体"/>
                <w:color w:val="auto"/>
                <w:spacing w:val="14"/>
                <w:sz w:val="29"/>
                <w:szCs w:val="29"/>
              </w:rPr>
              <w:t>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25" w:line="218" w:lineRule="auto"/>
              <w:ind w:left="64"/>
              <w:textAlignment w:val="baseline"/>
              <w:rPr>
                <w:rFonts w:ascii="宋体" w:hAnsi="宋体" w:eastAsia="宋体" w:cs="宋体"/>
                <w:color w:val="auto"/>
                <w:sz w:val="29"/>
                <w:szCs w:val="29"/>
              </w:rPr>
            </w:pPr>
            <w:r>
              <w:rPr>
                <w:rFonts w:ascii="宋体" w:hAnsi="宋体" w:eastAsia="宋体" w:cs="宋体"/>
                <w:color w:val="auto"/>
                <w:spacing w:val="-2"/>
                <w:sz w:val="29"/>
                <w:szCs w:val="29"/>
              </w:rPr>
              <w:t>Y&lt;5</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64" w:line="193" w:lineRule="auto"/>
              <w:ind w:left="623"/>
              <w:textAlignment w:val="baseline"/>
              <w:rPr>
                <w:rFonts w:ascii="宋体" w:hAnsi="宋体" w:eastAsia="宋体" w:cs="宋体"/>
                <w:color w:val="auto"/>
                <w:sz w:val="29"/>
                <w:szCs w:val="29"/>
              </w:rPr>
            </w:pPr>
            <w:r>
              <w:rPr>
                <w:rFonts w:ascii="宋体" w:hAnsi="宋体" w:eastAsia="宋体" w:cs="宋体"/>
                <w:color w:val="auto"/>
                <w:spacing w:val="17"/>
                <w:sz w:val="29"/>
                <w:szCs w:val="29"/>
              </w:rPr>
              <w:t>6个月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85" w:line="186" w:lineRule="auto"/>
              <w:ind w:left="616"/>
              <w:textAlignment w:val="baseline"/>
              <w:rPr>
                <w:rFonts w:ascii="宋体" w:hAnsi="宋体" w:eastAsia="宋体" w:cs="宋体"/>
                <w:color w:val="auto"/>
                <w:sz w:val="28"/>
                <w:szCs w:val="28"/>
              </w:rPr>
            </w:pPr>
            <w:r>
              <w:rPr>
                <w:rFonts w:ascii="宋体" w:hAnsi="宋体" w:eastAsia="宋体" w:cs="宋体"/>
                <w:color w:val="auto"/>
                <w:spacing w:val="22"/>
                <w:sz w:val="28"/>
                <w:szCs w:val="28"/>
              </w:rPr>
              <w:t>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87" w:line="218" w:lineRule="auto"/>
              <w:ind w:left="64"/>
              <w:textAlignment w:val="baseline"/>
              <w:rPr>
                <w:rFonts w:ascii="宋体" w:hAnsi="宋体" w:eastAsia="宋体" w:cs="宋体"/>
                <w:color w:val="auto"/>
                <w:sz w:val="23"/>
                <w:szCs w:val="23"/>
              </w:rPr>
            </w:pPr>
            <w:r>
              <w:rPr>
                <w:rFonts w:ascii="宋体" w:hAnsi="宋体" w:eastAsia="宋体" w:cs="宋体"/>
                <w:color w:val="auto"/>
                <w:spacing w:val="-4"/>
                <w:sz w:val="23"/>
                <w:szCs w:val="23"/>
              </w:rPr>
              <w:t>10&gt;Y≥5</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57" w:line="192" w:lineRule="auto"/>
              <w:ind w:left="623"/>
              <w:textAlignment w:val="baseline"/>
              <w:rPr>
                <w:rFonts w:ascii="宋体" w:hAnsi="宋体" w:eastAsia="宋体" w:cs="宋体"/>
                <w:color w:val="auto"/>
                <w:sz w:val="29"/>
                <w:szCs w:val="29"/>
              </w:rPr>
            </w:pPr>
            <w:r>
              <w:rPr>
                <w:rFonts w:ascii="宋体" w:hAnsi="宋体" w:eastAsia="宋体" w:cs="宋体"/>
                <w:color w:val="auto"/>
                <w:spacing w:val="17"/>
                <w:sz w:val="29"/>
                <w:szCs w:val="29"/>
              </w:rPr>
              <w:t>9个月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78" w:line="185" w:lineRule="auto"/>
              <w:ind w:left="616"/>
              <w:textAlignment w:val="baseline"/>
              <w:rPr>
                <w:rFonts w:ascii="宋体" w:hAnsi="宋体" w:eastAsia="宋体" w:cs="宋体"/>
                <w:color w:val="auto"/>
                <w:sz w:val="28"/>
                <w:szCs w:val="28"/>
              </w:rPr>
            </w:pPr>
            <w:r>
              <w:rPr>
                <w:rFonts w:ascii="宋体" w:hAnsi="宋体" w:eastAsia="宋体" w:cs="宋体"/>
                <w:color w:val="auto"/>
                <w:spacing w:val="22"/>
                <w:sz w:val="28"/>
                <w:szCs w:val="28"/>
              </w:rPr>
              <w:t>15个月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97" w:line="186" w:lineRule="auto"/>
              <w:ind w:left="64"/>
              <w:textAlignment w:val="baseline"/>
              <w:rPr>
                <w:rFonts w:ascii="宋体" w:hAnsi="宋体" w:eastAsia="宋体" w:cs="宋体"/>
                <w:color w:val="auto"/>
                <w:sz w:val="24"/>
                <w:szCs w:val="24"/>
              </w:rPr>
            </w:pPr>
            <w:r>
              <w:rPr>
                <w:rFonts w:ascii="宋体" w:hAnsi="宋体" w:eastAsia="宋体" w:cs="宋体"/>
                <w:color w:val="auto"/>
                <w:spacing w:val="23"/>
                <w:sz w:val="24"/>
                <w:szCs w:val="24"/>
              </w:rPr>
              <w:t>15&gt;Y≥10</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48" w:line="185" w:lineRule="auto"/>
              <w:ind w:left="554"/>
              <w:textAlignment w:val="baseline"/>
              <w:rPr>
                <w:rFonts w:ascii="宋体" w:hAnsi="宋体" w:eastAsia="宋体" w:cs="宋体"/>
                <w:color w:val="auto"/>
                <w:sz w:val="29"/>
                <w:szCs w:val="29"/>
              </w:rPr>
            </w:pPr>
            <w:r>
              <w:rPr>
                <w:rFonts w:ascii="宋体" w:hAnsi="宋体" w:eastAsia="宋体" w:cs="宋体"/>
                <w:color w:val="auto"/>
                <w:spacing w:val="14"/>
                <w:sz w:val="29"/>
                <w:szCs w:val="29"/>
              </w:rPr>
              <w:t>12个月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89" w:line="219" w:lineRule="auto"/>
              <w:ind w:left="616"/>
              <w:textAlignment w:val="baseline"/>
              <w:rPr>
                <w:rFonts w:ascii="宋体" w:hAnsi="宋体" w:eastAsia="宋体" w:cs="宋体"/>
                <w:color w:val="auto"/>
                <w:sz w:val="29"/>
                <w:szCs w:val="29"/>
              </w:rPr>
            </w:pPr>
            <w:r>
              <w:rPr>
                <w:rFonts w:ascii="宋体" w:hAnsi="宋体" w:eastAsia="宋体" w:cs="宋体"/>
                <w:color w:val="auto"/>
                <w:spacing w:val="14"/>
                <w:sz w:val="29"/>
                <w:szCs w:val="29"/>
              </w:rPr>
              <w:t>18个月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spacing w:before="150" w:line="237" w:lineRule="auto"/>
              <w:ind w:left="64"/>
              <w:textAlignment w:val="baseline"/>
              <w:rPr>
                <w:rFonts w:ascii="宋体" w:hAnsi="宋体" w:eastAsia="宋体" w:cs="宋体"/>
                <w:color w:val="auto"/>
                <w:sz w:val="23"/>
                <w:szCs w:val="23"/>
              </w:rPr>
            </w:pPr>
            <w:r>
              <w:rPr>
                <w:rFonts w:ascii="宋体" w:hAnsi="宋体" w:eastAsia="宋体" w:cs="宋体"/>
                <w:color w:val="auto"/>
                <w:spacing w:val="-2"/>
                <w:sz w:val="23"/>
                <w:szCs w:val="23"/>
              </w:rPr>
              <w:t>20&gt;Y≥15</w:t>
            </w: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58" w:line="191" w:lineRule="auto"/>
              <w:ind w:left="554"/>
              <w:textAlignment w:val="baseline"/>
              <w:rPr>
                <w:rFonts w:ascii="宋体" w:hAnsi="宋体" w:eastAsia="宋体" w:cs="宋体"/>
                <w:color w:val="auto"/>
                <w:sz w:val="29"/>
                <w:szCs w:val="29"/>
              </w:rPr>
            </w:pPr>
            <w:r>
              <w:rPr>
                <w:rFonts w:ascii="宋体" w:hAnsi="宋体" w:eastAsia="宋体" w:cs="宋体"/>
                <w:color w:val="auto"/>
                <w:spacing w:val="14"/>
                <w:sz w:val="29"/>
                <w:szCs w:val="29"/>
              </w:rPr>
              <w:t>18个月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69" w:line="191" w:lineRule="auto"/>
              <w:ind w:left="616"/>
              <w:textAlignment w:val="baseline"/>
              <w:rPr>
                <w:rFonts w:ascii="宋体" w:hAnsi="宋体" w:eastAsia="宋体" w:cs="宋体"/>
                <w:color w:val="auto"/>
                <w:sz w:val="28"/>
                <w:szCs w:val="28"/>
              </w:rPr>
            </w:pPr>
            <w:r>
              <w:rPr>
                <w:rFonts w:ascii="宋体" w:hAnsi="宋体" w:eastAsia="宋体" w:cs="宋体"/>
                <w:color w:val="auto"/>
                <w:spacing w:val="22"/>
                <w:sz w:val="28"/>
                <w:szCs w:val="28"/>
              </w:rPr>
              <w:t>24个月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2551" w:type="dxa"/>
            <w:vAlign w:val="top"/>
          </w:tcPr>
          <w:p>
            <w:pPr>
              <w:keepNext w:val="0"/>
              <w:keepLines w:val="0"/>
              <w:pageBreakBefore w:val="0"/>
              <w:widowControl w:val="0"/>
              <w:kinsoku/>
              <w:wordWrap/>
              <w:overflowPunct/>
              <w:topLinePunct/>
              <w:autoSpaceDE/>
              <w:autoSpaceDN/>
              <w:bidi w:val="0"/>
              <w:adjustRightInd w:val="0"/>
              <w:snapToGrid w:val="0"/>
              <w:textAlignment w:val="baseline"/>
              <w:rPr>
                <w:rFonts w:ascii="Arial"/>
                <w:color w:val="auto"/>
                <w:sz w:val="21"/>
              </w:rPr>
            </w:pPr>
          </w:p>
        </w:tc>
        <w:tc>
          <w:tcPr>
            <w:tcW w:w="1987" w:type="dxa"/>
            <w:vAlign w:val="top"/>
          </w:tcPr>
          <w:p>
            <w:pPr>
              <w:keepNext w:val="0"/>
              <w:keepLines w:val="0"/>
              <w:pageBreakBefore w:val="0"/>
              <w:widowControl w:val="0"/>
              <w:kinsoku/>
              <w:wordWrap/>
              <w:overflowPunct/>
              <w:topLinePunct/>
              <w:autoSpaceDE/>
              <w:autoSpaceDN/>
              <w:bidi w:val="0"/>
              <w:adjustRightInd w:val="0"/>
              <w:snapToGrid w:val="0"/>
              <w:spacing w:before="171" w:line="199" w:lineRule="auto"/>
              <w:ind w:left="554"/>
              <w:textAlignment w:val="baseline"/>
              <w:rPr>
                <w:rFonts w:ascii="宋体" w:hAnsi="宋体" w:eastAsia="宋体" w:cs="宋体"/>
                <w:color w:val="auto"/>
                <w:sz w:val="29"/>
                <w:szCs w:val="29"/>
              </w:rPr>
            </w:pPr>
            <w:r>
              <w:rPr>
                <w:rFonts w:ascii="宋体" w:hAnsi="宋体" w:eastAsia="宋体" w:cs="宋体"/>
                <w:color w:val="auto"/>
                <w:spacing w:val="14"/>
                <w:sz w:val="29"/>
                <w:szCs w:val="29"/>
              </w:rPr>
              <w:t>24个月</w:t>
            </w:r>
          </w:p>
        </w:tc>
        <w:tc>
          <w:tcPr>
            <w:tcW w:w="2112" w:type="dxa"/>
            <w:vAlign w:val="top"/>
          </w:tcPr>
          <w:p>
            <w:pPr>
              <w:keepNext w:val="0"/>
              <w:keepLines w:val="0"/>
              <w:pageBreakBefore w:val="0"/>
              <w:widowControl w:val="0"/>
              <w:kinsoku/>
              <w:wordWrap/>
              <w:overflowPunct/>
              <w:topLinePunct/>
              <w:autoSpaceDE/>
              <w:autoSpaceDN/>
              <w:bidi w:val="0"/>
              <w:adjustRightInd w:val="0"/>
              <w:snapToGrid w:val="0"/>
              <w:spacing w:before="111" w:line="219" w:lineRule="auto"/>
              <w:ind w:left="616"/>
              <w:textAlignment w:val="baseline"/>
              <w:rPr>
                <w:rFonts w:ascii="宋体" w:hAnsi="宋体" w:eastAsia="宋体" w:cs="宋体"/>
                <w:color w:val="auto"/>
                <w:sz w:val="29"/>
                <w:szCs w:val="29"/>
              </w:rPr>
            </w:pPr>
            <w:r>
              <w:rPr>
                <w:rFonts w:ascii="宋体" w:hAnsi="宋体" w:eastAsia="宋体" w:cs="宋体"/>
                <w:color w:val="auto"/>
                <w:spacing w:val="14"/>
                <w:sz w:val="29"/>
                <w:szCs w:val="29"/>
              </w:rPr>
              <w:t>30个月</w:t>
            </w:r>
          </w:p>
        </w:tc>
      </w:tr>
    </w:tbl>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医疗期满后如不能从事原工作且不能就调换工作达成一致的，依据《中华人民共和国劳动合同法》、《中华人民共和国劳动法》及基金会相关规定，经双方协商一致可以解除劳动合同。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5.年假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color w:val="auto"/>
        </w:rPr>
      </w:pPr>
      <w:r>
        <w:rPr>
          <w:rFonts w:hint="eastAsia" w:asciiTheme="minorEastAsia" w:hAnsiTheme="minorEastAsia" w:eastAsiaTheme="minorEastAsia" w:cstheme="minorEastAsia"/>
          <w:sz w:val="28"/>
          <w:szCs w:val="28"/>
        </w:rPr>
        <w:t>(1)员工根据在基金会工作的年限来确定享受年假的天数，具体为：</w:t>
      </w:r>
    </w:p>
    <w:p>
      <w:pPr>
        <w:keepNext w:val="0"/>
        <w:keepLines w:val="0"/>
        <w:pageBreakBefore w:val="0"/>
        <w:widowControl w:val="0"/>
        <w:kinsoku/>
        <w:wordWrap/>
        <w:overflowPunct/>
        <w:topLinePunct/>
        <w:autoSpaceDE/>
        <w:autoSpaceDN/>
        <w:bidi w:val="0"/>
        <w:adjustRightInd w:val="0"/>
        <w:snapToGrid w:val="0"/>
        <w:textAlignment w:val="baseline"/>
        <w:rPr>
          <w:color w:val="auto"/>
        </w:rPr>
      </w:pPr>
    </w:p>
    <w:p>
      <w:pPr>
        <w:keepNext w:val="0"/>
        <w:keepLines w:val="0"/>
        <w:pageBreakBefore w:val="0"/>
        <w:widowControl w:val="0"/>
        <w:kinsoku/>
        <w:wordWrap/>
        <w:overflowPunct/>
        <w:topLinePunct/>
        <w:autoSpaceDE/>
        <w:autoSpaceDN/>
        <w:bidi w:val="0"/>
        <w:adjustRightInd w:val="0"/>
        <w:snapToGrid w:val="0"/>
        <w:spacing w:line="20" w:lineRule="exact"/>
        <w:textAlignment w:val="baseline"/>
        <w:rPr>
          <w:color w:val="auto"/>
        </w:rPr>
      </w:pPr>
    </w:p>
    <w:tbl>
      <w:tblPr>
        <w:tblStyle w:val="4"/>
        <w:tblW w:w="5169" w:type="dxa"/>
        <w:tblInd w:w="2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99"/>
        <w:gridCol w:w="25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2599" w:type="dxa"/>
            <w:shd w:val="clear" w:color="auto" w:fill="DFDFE5"/>
            <w:vAlign w:val="top"/>
          </w:tcPr>
          <w:p>
            <w:pPr>
              <w:keepNext w:val="0"/>
              <w:keepLines w:val="0"/>
              <w:pageBreakBefore w:val="0"/>
              <w:widowControl w:val="0"/>
              <w:kinsoku/>
              <w:wordWrap/>
              <w:overflowPunct/>
              <w:topLinePunct/>
              <w:autoSpaceDE/>
              <w:autoSpaceDN/>
              <w:bidi w:val="0"/>
              <w:adjustRightInd w:val="0"/>
              <w:snapToGrid w:val="0"/>
              <w:spacing w:before="93" w:line="219" w:lineRule="auto"/>
              <w:ind w:left="359"/>
              <w:textAlignment w:val="baseline"/>
              <w:rPr>
                <w:rFonts w:ascii="宋体" w:hAnsi="宋体" w:eastAsia="宋体" w:cs="宋体"/>
                <w:color w:val="auto"/>
                <w:sz w:val="30"/>
                <w:szCs w:val="30"/>
              </w:rPr>
            </w:pPr>
            <w:r>
              <w:rPr>
                <w:rFonts w:ascii="宋体" w:hAnsi="宋体" w:eastAsia="宋体" w:cs="宋体"/>
                <w:b/>
                <w:bCs/>
                <w:color w:val="auto"/>
                <w:spacing w:val="5"/>
                <w:sz w:val="30"/>
                <w:szCs w:val="30"/>
              </w:rPr>
              <w:t>工作年限(Y)</w:t>
            </w:r>
          </w:p>
        </w:tc>
        <w:tc>
          <w:tcPr>
            <w:tcW w:w="2570" w:type="dxa"/>
            <w:shd w:val="clear" w:color="auto" w:fill="DFDFE5"/>
            <w:vAlign w:val="top"/>
          </w:tcPr>
          <w:p>
            <w:pPr>
              <w:keepNext w:val="0"/>
              <w:keepLines w:val="0"/>
              <w:pageBreakBefore w:val="0"/>
              <w:widowControl w:val="0"/>
              <w:kinsoku/>
              <w:wordWrap/>
              <w:overflowPunct/>
              <w:topLinePunct/>
              <w:autoSpaceDE/>
              <w:autoSpaceDN/>
              <w:bidi w:val="0"/>
              <w:adjustRightInd w:val="0"/>
              <w:snapToGrid w:val="0"/>
              <w:spacing w:before="91" w:line="219" w:lineRule="auto"/>
              <w:ind w:left="680"/>
              <w:textAlignment w:val="baseline"/>
              <w:rPr>
                <w:rFonts w:ascii="宋体" w:hAnsi="宋体" w:eastAsia="宋体" w:cs="宋体"/>
                <w:color w:val="auto"/>
                <w:sz w:val="30"/>
                <w:szCs w:val="30"/>
              </w:rPr>
            </w:pPr>
            <w:r>
              <w:rPr>
                <w:rFonts w:ascii="宋体" w:hAnsi="宋体" w:eastAsia="宋体" w:cs="宋体"/>
                <w:b/>
                <w:bCs/>
                <w:color w:val="auto"/>
                <w:spacing w:val="-6"/>
                <w:sz w:val="30"/>
                <w:szCs w:val="30"/>
              </w:rPr>
              <w:t>年假天数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124" w:line="218" w:lineRule="auto"/>
              <w:ind w:left="4"/>
              <w:textAlignment w:val="baseline"/>
              <w:rPr>
                <w:rFonts w:ascii="宋体" w:hAnsi="宋体" w:eastAsia="宋体" w:cs="宋体"/>
                <w:color w:val="auto"/>
                <w:sz w:val="30"/>
                <w:szCs w:val="30"/>
              </w:rPr>
            </w:pPr>
            <w:r>
              <w:rPr>
                <w:rFonts w:ascii="宋体" w:hAnsi="宋体" w:eastAsia="宋体" w:cs="宋体"/>
                <w:color w:val="auto"/>
                <w:spacing w:val="-2"/>
                <w:sz w:val="30"/>
                <w:szCs w:val="30"/>
              </w:rPr>
              <w:t>Y&lt;0.5</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71" w:line="208" w:lineRule="exact"/>
              <w:ind w:left="1205"/>
              <w:textAlignment w:val="baseline"/>
              <w:rPr>
                <w:rFonts w:ascii="宋体" w:hAnsi="宋体" w:eastAsia="宋体" w:cs="宋体"/>
                <w:color w:val="auto"/>
                <w:sz w:val="29"/>
                <w:szCs w:val="29"/>
              </w:rPr>
            </w:pPr>
            <w:r>
              <w:rPr>
                <w:rFonts w:ascii="宋体" w:hAnsi="宋体" w:eastAsia="宋体" w:cs="宋体"/>
                <w:color w:val="auto"/>
                <w:position w:val="-4"/>
                <w:sz w:val="29"/>
                <w:szCs w:val="29"/>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142" w:line="236" w:lineRule="auto"/>
              <w:ind w:left="4"/>
              <w:textAlignment w:val="baseline"/>
              <w:rPr>
                <w:rFonts w:ascii="宋体" w:hAnsi="宋体" w:eastAsia="宋体" w:cs="宋体"/>
                <w:color w:val="auto"/>
                <w:sz w:val="23"/>
                <w:szCs w:val="23"/>
              </w:rPr>
            </w:pPr>
            <w:r>
              <w:rPr>
                <w:rFonts w:ascii="宋体" w:hAnsi="宋体" w:eastAsia="宋体" w:cs="宋体"/>
                <w:color w:val="auto"/>
                <w:spacing w:val="-2"/>
                <w:sz w:val="23"/>
                <w:szCs w:val="23"/>
              </w:rPr>
              <w:t>0.5≤Y&lt;2</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64" w:line="204" w:lineRule="exact"/>
              <w:ind w:left="1205"/>
              <w:textAlignment w:val="baseline"/>
              <w:rPr>
                <w:rFonts w:ascii="宋体" w:hAnsi="宋体" w:eastAsia="宋体" w:cs="宋体"/>
                <w:color w:val="auto"/>
                <w:sz w:val="29"/>
                <w:szCs w:val="29"/>
              </w:rPr>
            </w:pPr>
            <w:r>
              <w:rPr>
                <w:rFonts w:ascii="宋体" w:hAnsi="宋体" w:eastAsia="宋体" w:cs="宋体"/>
                <w:color w:val="auto"/>
                <w:position w:val="-4"/>
                <w:sz w:val="29"/>
                <w:szCs w:val="29"/>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123" w:line="218" w:lineRule="auto"/>
              <w:ind w:left="4"/>
              <w:textAlignment w:val="baseline"/>
              <w:rPr>
                <w:rFonts w:ascii="宋体" w:hAnsi="宋体" w:eastAsia="宋体" w:cs="宋体"/>
                <w:color w:val="auto"/>
                <w:sz w:val="30"/>
                <w:szCs w:val="30"/>
              </w:rPr>
            </w:pPr>
            <w:r>
              <w:rPr>
                <w:rFonts w:ascii="宋体" w:hAnsi="宋体" w:eastAsia="宋体" w:cs="宋体"/>
                <w:color w:val="auto"/>
                <w:spacing w:val="-3"/>
                <w:sz w:val="30"/>
                <w:szCs w:val="30"/>
              </w:rPr>
              <w:t>2≤Y&lt;3</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73" w:line="205" w:lineRule="exact"/>
              <w:ind w:left="1126"/>
              <w:textAlignment w:val="baseline"/>
              <w:rPr>
                <w:rFonts w:ascii="宋体" w:hAnsi="宋体" w:eastAsia="宋体" w:cs="宋体"/>
                <w:color w:val="auto"/>
                <w:sz w:val="29"/>
                <w:szCs w:val="29"/>
              </w:rPr>
            </w:pPr>
            <w:r>
              <w:rPr>
                <w:rFonts w:ascii="宋体" w:hAnsi="宋体" w:eastAsia="宋体" w:cs="宋体"/>
                <w:color w:val="auto"/>
                <w:spacing w:val="-6"/>
                <w:position w:val="-4"/>
                <w:sz w:val="29"/>
                <w:szCs w:val="29"/>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225" w:line="187" w:lineRule="auto"/>
              <w:ind w:left="4"/>
              <w:textAlignment w:val="baseline"/>
              <w:rPr>
                <w:rFonts w:ascii="宋体" w:hAnsi="宋体" w:eastAsia="宋体" w:cs="宋体"/>
                <w:color w:val="auto"/>
                <w:sz w:val="25"/>
                <w:szCs w:val="25"/>
              </w:rPr>
            </w:pPr>
            <w:r>
              <w:rPr>
                <w:rFonts w:ascii="宋体" w:hAnsi="宋体" w:eastAsia="宋体" w:cs="宋体"/>
                <w:color w:val="auto"/>
                <w:spacing w:val="26"/>
                <w:sz w:val="25"/>
                <w:szCs w:val="25"/>
              </w:rPr>
              <w:t>3≤Y&lt;4</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75" w:line="204" w:lineRule="exact"/>
              <w:ind w:left="1126"/>
              <w:textAlignment w:val="baseline"/>
              <w:rPr>
                <w:rFonts w:ascii="宋体" w:hAnsi="宋体" w:eastAsia="宋体" w:cs="宋体"/>
                <w:color w:val="auto"/>
                <w:sz w:val="29"/>
                <w:szCs w:val="29"/>
              </w:rPr>
            </w:pPr>
            <w:r>
              <w:rPr>
                <w:rFonts w:ascii="宋体" w:hAnsi="宋体" w:eastAsia="宋体" w:cs="宋体"/>
                <w:color w:val="auto"/>
                <w:spacing w:val="-6"/>
                <w:position w:val="-4"/>
                <w:sz w:val="29"/>
                <w:szCs w:val="29"/>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137" w:line="236" w:lineRule="auto"/>
              <w:ind w:left="4"/>
              <w:textAlignment w:val="baseline"/>
              <w:rPr>
                <w:rFonts w:ascii="宋体" w:hAnsi="宋体" w:eastAsia="宋体" w:cs="宋体"/>
                <w:color w:val="auto"/>
                <w:sz w:val="23"/>
                <w:szCs w:val="23"/>
              </w:rPr>
            </w:pPr>
            <w:r>
              <w:rPr>
                <w:rFonts w:ascii="宋体" w:hAnsi="宋体" w:eastAsia="宋体" w:cs="宋体"/>
                <w:color w:val="auto"/>
                <w:spacing w:val="-2"/>
                <w:sz w:val="23"/>
                <w:szCs w:val="23"/>
              </w:rPr>
              <w:t>4≤Y&lt;5</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36" w:line="203" w:lineRule="exact"/>
              <w:ind w:left="1126"/>
              <w:textAlignment w:val="baseline"/>
              <w:rPr>
                <w:rFonts w:ascii="宋体" w:hAnsi="宋体" w:eastAsia="宋体" w:cs="宋体"/>
                <w:color w:val="auto"/>
                <w:sz w:val="29"/>
                <w:szCs w:val="29"/>
              </w:rPr>
            </w:pPr>
            <w:r>
              <w:rPr>
                <w:rFonts w:ascii="宋体" w:hAnsi="宋体" w:eastAsia="宋体" w:cs="宋体"/>
                <w:color w:val="auto"/>
                <w:spacing w:val="-6"/>
                <w:position w:val="-4"/>
                <w:sz w:val="29"/>
                <w:szCs w:val="29"/>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2599" w:type="dxa"/>
            <w:vAlign w:val="top"/>
          </w:tcPr>
          <w:p>
            <w:pPr>
              <w:keepNext w:val="0"/>
              <w:keepLines w:val="0"/>
              <w:pageBreakBefore w:val="0"/>
              <w:widowControl w:val="0"/>
              <w:kinsoku/>
              <w:wordWrap/>
              <w:overflowPunct/>
              <w:topLinePunct/>
              <w:autoSpaceDE/>
              <w:autoSpaceDN/>
              <w:bidi w:val="0"/>
              <w:adjustRightInd w:val="0"/>
              <w:snapToGrid w:val="0"/>
              <w:spacing w:before="201" w:line="219" w:lineRule="auto"/>
              <w:ind w:left="4"/>
              <w:textAlignment w:val="baseline"/>
              <w:rPr>
                <w:rFonts w:ascii="宋体" w:hAnsi="宋体" w:eastAsia="宋体" w:cs="宋体"/>
                <w:color w:val="auto"/>
                <w:sz w:val="23"/>
                <w:szCs w:val="23"/>
              </w:rPr>
            </w:pPr>
            <w:r>
              <w:rPr>
                <w:rFonts w:ascii="宋体" w:hAnsi="宋体" w:eastAsia="宋体" w:cs="宋体"/>
                <w:color w:val="auto"/>
                <w:spacing w:val="-2"/>
                <w:sz w:val="23"/>
                <w:szCs w:val="23"/>
              </w:rPr>
              <w:t>Y≥5</w:t>
            </w:r>
          </w:p>
        </w:tc>
        <w:tc>
          <w:tcPr>
            <w:tcW w:w="2570" w:type="dxa"/>
            <w:vAlign w:val="top"/>
          </w:tcPr>
          <w:p>
            <w:pPr>
              <w:keepNext w:val="0"/>
              <w:keepLines w:val="0"/>
              <w:pageBreakBefore w:val="0"/>
              <w:widowControl w:val="0"/>
              <w:kinsoku/>
              <w:wordWrap/>
              <w:overflowPunct/>
              <w:topLinePunct/>
              <w:autoSpaceDE/>
              <w:autoSpaceDN/>
              <w:bidi w:val="0"/>
              <w:adjustRightInd w:val="0"/>
              <w:snapToGrid w:val="0"/>
              <w:spacing w:before="267" w:line="207" w:lineRule="exact"/>
              <w:ind w:left="1126"/>
              <w:textAlignment w:val="baseline"/>
              <w:rPr>
                <w:rFonts w:ascii="宋体" w:hAnsi="宋体" w:eastAsia="宋体" w:cs="宋体"/>
                <w:color w:val="auto"/>
                <w:sz w:val="29"/>
                <w:szCs w:val="29"/>
              </w:rPr>
            </w:pPr>
            <w:r>
              <w:rPr>
                <w:rFonts w:ascii="宋体" w:hAnsi="宋体" w:eastAsia="宋体" w:cs="宋体"/>
                <w:color w:val="auto"/>
                <w:spacing w:val="-6"/>
                <w:position w:val="-4"/>
                <w:sz w:val="29"/>
                <w:szCs w:val="29"/>
              </w:rPr>
              <w:t>15</w:t>
            </w:r>
          </w:p>
        </w:tc>
      </w:tr>
    </w:tbl>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(2)员工有下列情形之一 的，不享受当年的年假：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 累计工作(工龄)不满10年，请病假累计2个月以上的；</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 累计工作(工龄)满10年不满20年，请病假累计3个月以上的；</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 累计工作(工龄)满20年以上，请病假累计4个月以上的。</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如员工有上述情形但当年已享受全部或部分年假，则下一年度将扣除当年已休年假。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(3)员工可以申请休年假，基金会也可以根据经营管理情况并考虑员工本人意愿统筹安排员工休年假。员工休年假应当以不影响工作为前提。年假可以一次休完，也可以分开休假。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(4)员工应当在次年三月前休完。而员工因个人原因不休或未休的，视为自愿放弃，基金会不予以补休或折现补偿。</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(5)员工离职时，当年截止离职日应享受的年假应在离职前休完，未休完的视为自愿放弃，不折现。</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 倒休假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员工在公休日加班，基金会应及时安排同等时间的倒休，因员工个人原因不补休，视为自动放弃。</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 事假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(1)员工因个人事务不能出勤的，应当先申请倒休假或年假。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( 2 ) 员 工当年的倒休假和年假已经用完或无倒休假和年假的，可以申请事假。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(3)员工入职第一年，全年累计休事假不得超过20个工作日；工作满一年，全年累 计事假不得超过30个工作日。</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 婚假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达到法定婚龄的员工(男年满22周岁，女年满20周岁)结婚，在试用期满后，可以享受婚假3天；如果员工是初婚且符合晚婚条件(男年满 25周岁且女年满23周岁)的，另外增加晚婚假7天，共计可享受婚假10 天。婚假需在领取结婚证之日起12个月内一次性休完。逾期未休的，视为自愿放弃，不予补休， 亦不折现补偿。</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9.丧假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员工的父母、(外)祖父母、岳父母、公婆、配偶、子女、兄弟姐妹去世，可以申请丧假3天。丧假需一次性休完，不能补休或折现补偿。</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10.产前检查假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怀孕女员工应医务部门的要求，需要进行产前检查的，持医务部门证明，可以申请产前检查假。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11.围产假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妊娠7个月以上(含7个月)员工，每天可申请晚半小时上班或提前半小时下班，考勤按正常出勤对待。</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12.产假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(1)生产女员工正常生育可享受90天产假(其中产前产后休假天数可由女员工自行调整);如难产，增加15天；多胞胎生育，每多生育1个婴儿增加15天；晚育(指已婚妇女年满二十四周岁初育),增加30天。</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如果女方未享受晚育假，可转由男方享受，但双方只可由一方享受，不可拆分使用。</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(2)陪产男员工的配偶生产，可享受陪产假10天。</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(3)流产</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女员工怀孕流产，根据医务部门的证明，妊娠不满4个月的，产假为15天至30天；妊娠4个月以上的产假为42天。女员工产假过后，因身体原因不能工作，需要继续休养者，经本人申请，持医务部门诊断证明，经审批权人批准后，按病假执行。</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13.哺乳假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有不满一周岁婴儿的女员工，每个工作日可以享受两次哺乳时间，每次三十分钟。多胞胎生育的，每多哺乳一个婴儿，每次哺乳时间增加三十分钟。女员工每天的两次哺乳时间可以合并使用。</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 工伤假员工因工受到伤害，可以按照国家及当地政府相关规定享受工伤假。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第二十一条 休假期间的待遇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法定节假日及部分员工可以享受的特殊休假期间，员工享受全额工资待遇；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.员工带薪休假期间享受全额工资待遇；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3.其他假待遇</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(1)病假期间待遇：员工病假期间按照日工资标准的50%计发；连续病假超过22个工作日的，从第23日 起按日工资标准的25%计发，但实发金额不低于当年最低工资标准的80%;</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ascii="Arial"/>
          <w:color w:val="auto"/>
          <w:sz w:val="21"/>
        </w:rPr>
      </w:pPr>
      <w:r>
        <w:rPr>
          <w:rFonts w:hint="eastAsia" w:asciiTheme="minorEastAsia" w:hAnsiTheme="minorEastAsia" w:eastAsiaTheme="minorEastAsia" w:cstheme="minorEastAsia"/>
          <w:sz w:val="28"/>
          <w:szCs w:val="28"/>
        </w:rPr>
        <w:t>(2)员工休事假期间，不享受任何工资、补贴待遇。</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第七章绩效考核</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第二十二条 基金会绩效考核旨在达到以下目标：客观、公正评价员工工作表现，进一步提高员工的工作绩效；为人力资源管理提供依据；加强沟通，建立良好的工 作氛围。</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第二十三条 考核内容</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考核分为工作绩效目标及评估、个人成长目标及评估、胜任能力综合评估等三部分</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具体见考评表</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第二十四条 绩效考核阶段</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年初工作绩效目标和个人成长制定；</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.年终绩效评估，通过回顾全年绩效目标、以及年中的考核结果对本年度绩效情况进行整体评估。</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第二十五条 个人目标制定</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1.内容包括工作绩效目标、个人成长目标两部分；</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2.由秘书长和各职能负责人根据本年度工作计划，共同商讨制定，统一 由人力资源职能负责人汇总。</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第二十六条 绩效评估</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1.由人力资源职能负责人统一进行评估和结果汇总，并做好结果的保密工作；</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每年度在年末进行绩效评估；</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ascii="Arial"/>
          <w:color w:val="auto"/>
          <w:sz w:val="21"/>
        </w:rPr>
      </w:pPr>
      <w:r>
        <w:rPr>
          <w:rFonts w:hint="eastAsia" w:asciiTheme="minorEastAsia" w:hAnsiTheme="minorEastAsia" w:eastAsiaTheme="minorEastAsia" w:cstheme="minorEastAsia"/>
          <w:sz w:val="28"/>
          <w:szCs w:val="28"/>
        </w:rPr>
        <w:t xml:space="preserve">3. </w:t>
      </w:r>
      <w:r>
        <w:rPr>
          <w:rFonts w:hint="eastAsia" w:asciiTheme="minorEastAsia" w:hAnsiTheme="minorEastAsia" w:eastAsiaTheme="minorEastAsia" w:cstheme="minorEastAsia"/>
          <w:sz w:val="28"/>
          <w:szCs w:val="28"/>
          <w:lang w:val="en-US" w:eastAsia="zh-CN"/>
        </w:rPr>
        <w:t>人事负责人</w:t>
      </w:r>
      <w:r>
        <w:rPr>
          <w:rFonts w:hint="eastAsia" w:asciiTheme="minorEastAsia" w:hAnsiTheme="minorEastAsia" w:eastAsiaTheme="minorEastAsia" w:cstheme="minorEastAsia"/>
          <w:sz w:val="28"/>
          <w:szCs w:val="28"/>
        </w:rPr>
        <w:t>根据</w:t>
      </w:r>
      <w:r>
        <w:rPr>
          <w:rFonts w:hint="eastAsia" w:asciiTheme="minorEastAsia" w:hAnsiTheme="minorEastAsia" w:eastAsiaTheme="minorEastAsia" w:cstheme="minorEastAsia"/>
          <w:sz w:val="28"/>
          <w:szCs w:val="28"/>
          <w:lang w:val="en-US" w:eastAsia="zh-CN"/>
        </w:rPr>
        <w:t>评估</w:t>
      </w:r>
      <w:r>
        <w:rPr>
          <w:rFonts w:hint="eastAsia" w:asciiTheme="minorEastAsia" w:hAnsiTheme="minorEastAsia" w:eastAsiaTheme="minorEastAsia" w:cstheme="minorEastAsia"/>
          <w:sz w:val="28"/>
          <w:szCs w:val="28"/>
        </w:rPr>
        <w:t>情况填写《员工绩效评估表》。</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第八章</w:t>
      </w:r>
      <w:r>
        <w:rPr>
          <w:rFonts w:hint="eastAsia" w:ascii="黑体" w:hAnsi="黑体" w:eastAsia="黑体" w:cs="黑体"/>
          <w:b/>
          <w:bCs/>
          <w:color w:val="auto"/>
          <w:spacing w:val="0"/>
          <w:sz w:val="27"/>
          <w:szCs w:val="27"/>
          <w:lang w:val="en-US" w:eastAsia="zh-CN"/>
        </w:rPr>
        <w:t xml:space="preserve">  </w:t>
      </w:r>
      <w:bookmarkStart w:id="0" w:name="_GoBack"/>
      <w:bookmarkEnd w:id="0"/>
      <w:r>
        <w:rPr>
          <w:rFonts w:hint="eastAsia" w:ascii="黑体" w:hAnsi="黑体" w:eastAsia="黑体" w:cs="黑体"/>
          <w:b/>
          <w:bCs/>
          <w:color w:val="auto"/>
          <w:spacing w:val="0"/>
          <w:sz w:val="27"/>
          <w:szCs w:val="27"/>
        </w:rPr>
        <w:t>其 他</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第</w:t>
      </w:r>
      <w:r>
        <w:rPr>
          <w:rFonts w:hint="eastAsia" w:asciiTheme="minorEastAsia" w:hAnsiTheme="minorEastAsia" w:eastAsiaTheme="minorEastAsia" w:cstheme="minorEastAsia"/>
          <w:sz w:val="28"/>
          <w:szCs w:val="28"/>
        </w:rPr>
        <w:t>二十七条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员工应遵守本基金会一切规章及公告。</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第二十八条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员工应接受上级主管的指挥与监督，如有意见应于事前述明核办。</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第二十九条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全体员工应尊重基金会信誉，除办理本基金会指定任务外，不得擅用本基金会名义。</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第三十条  本基金会员工执行职务时，应力求切实，不得畏难规避，互相推诿或无故稽延。</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第三十一条 本基金会员工处理业务，对一切公物应加爱护。</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第三十二条 本基金会员工对外接洽事项，应态度谦和，不得有损害本基金会名誉之行为。</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ascii="Arial"/>
          <w:color w:val="auto"/>
          <w:sz w:val="21"/>
        </w:rPr>
      </w:pPr>
      <w:r>
        <w:rPr>
          <w:rFonts w:hint="eastAsia" w:asciiTheme="minorEastAsia" w:hAnsiTheme="minorEastAsia" w:eastAsiaTheme="minorEastAsia" w:cstheme="minorEastAsia"/>
          <w:sz w:val="28"/>
          <w:szCs w:val="28"/>
        </w:rPr>
        <w:t>第三十三条 本基金会员工应彼此通力合作，同舟共济，不得妄生意见、吵闹、斗殴、拨弄是非或其他扰乱秩序、妨碍风纪事情。</w:t>
      </w:r>
    </w:p>
    <w:p>
      <w:pPr>
        <w:keepNext w:val="0"/>
        <w:keepLines w:val="0"/>
        <w:pageBreakBefore w:val="0"/>
        <w:widowControl w:val="0"/>
        <w:kinsoku/>
        <w:wordWrap/>
        <w:overflowPunct/>
        <w:topLinePunct/>
        <w:autoSpaceDE/>
        <w:autoSpaceDN/>
        <w:bidi w:val="0"/>
        <w:adjustRightInd w:val="0"/>
        <w:snapToGrid w:val="0"/>
        <w:spacing w:before="0" w:beforeLines="100" w:after="0" w:afterLines="100" w:line="224" w:lineRule="auto"/>
        <w:ind w:left="16" w:leftChars="0" w:hanging="16" w:hangingChars="6"/>
        <w:jc w:val="center"/>
        <w:textAlignment w:val="baseline"/>
        <w:rPr>
          <w:rFonts w:hint="eastAsia" w:ascii="黑体" w:hAnsi="黑体" w:eastAsia="黑体" w:cs="黑体"/>
          <w:b/>
          <w:bCs/>
          <w:color w:val="auto"/>
          <w:spacing w:val="0"/>
          <w:sz w:val="27"/>
          <w:szCs w:val="27"/>
        </w:rPr>
      </w:pPr>
      <w:r>
        <w:rPr>
          <w:rFonts w:hint="eastAsia" w:ascii="黑体" w:hAnsi="黑体" w:eastAsia="黑体" w:cs="黑体"/>
          <w:b/>
          <w:bCs/>
          <w:color w:val="auto"/>
          <w:spacing w:val="0"/>
          <w:sz w:val="27"/>
          <w:szCs w:val="27"/>
        </w:rPr>
        <w:t>第九章</w:t>
      </w:r>
      <w:r>
        <w:rPr>
          <w:rFonts w:hint="eastAsia" w:ascii="黑体" w:hAnsi="黑体" w:eastAsia="黑体" w:cs="黑体"/>
          <w:b/>
          <w:bCs/>
          <w:color w:val="auto"/>
          <w:spacing w:val="0"/>
          <w:sz w:val="27"/>
          <w:szCs w:val="27"/>
          <w:lang w:val="en-US" w:eastAsia="zh-CN"/>
        </w:rPr>
        <w:t xml:space="preserve">  </w:t>
      </w:r>
      <w:r>
        <w:rPr>
          <w:rFonts w:hint="eastAsia" w:ascii="黑体" w:hAnsi="黑体" w:eastAsia="黑体" w:cs="黑体"/>
          <w:b/>
          <w:bCs/>
          <w:color w:val="auto"/>
          <w:spacing w:val="0"/>
          <w:sz w:val="27"/>
          <w:szCs w:val="27"/>
        </w:rPr>
        <w:t>附 则</w:t>
      </w:r>
    </w:p>
    <w:p>
      <w:pPr>
        <w:keepNext w:val="0"/>
        <w:keepLines w:val="0"/>
        <w:pageBreakBefore w:val="0"/>
        <w:widowControl w:val="0"/>
        <w:kinsoku/>
        <w:wordWrap/>
        <w:overflowPunct/>
        <w:topLinePunct/>
        <w:autoSpaceDE/>
        <w:autoSpaceDN/>
        <w:bidi w:val="0"/>
        <w:adjustRightInd w:val="0"/>
        <w:snapToGrid w:val="0"/>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第三十四条 本制度经基金会理事会通过后执行，解释和修改权归本基金会所有。</w:t>
      </w:r>
    </w:p>
    <w:p>
      <w:pPr>
        <w:keepNext w:val="0"/>
        <w:keepLines w:val="0"/>
        <w:pageBreakBefore w:val="0"/>
        <w:widowControl w:val="0"/>
        <w:kinsoku/>
        <w:wordWrap/>
        <w:overflowPunct/>
        <w:topLinePunct/>
        <w:autoSpaceDE/>
        <w:autoSpaceDN/>
        <w:bidi w:val="0"/>
        <w:adjustRightInd w:val="0"/>
        <w:snapToGrid w:val="0"/>
        <w:textAlignment w:val="baseline"/>
        <w:rPr>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89"/>
      <w:rPr>
        <w:rFonts w:ascii="宋体" w:hAnsi="宋体" w:eastAsia="宋体" w:cs="宋体"/>
        <w:sz w:val="22"/>
        <w:szCs w:val="22"/>
      </w:rPr>
    </w:pPr>
    <w:r>
      <w:rPr>
        <w:rFonts w:ascii="宋体" w:hAnsi="宋体" w:eastAsia="宋体" w:cs="宋体"/>
        <w:spacing w:val="-4"/>
        <w:sz w:val="22"/>
        <w:szCs w:val="22"/>
      </w:rPr>
      <w:t>14/14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1MmE3NGE2NDQ1MmE5YWU2NGQwN2Q5MGYyZWNmMDMifQ=="/>
  </w:docVars>
  <w:rsids>
    <w:rsidRoot w:val="15C50ED1"/>
    <w:rsid w:val="09F2400E"/>
    <w:rsid w:val="15C50ED1"/>
    <w:rsid w:val="1D763344"/>
    <w:rsid w:val="1F04135C"/>
    <w:rsid w:val="45E82A98"/>
    <w:rsid w:val="50033DE8"/>
    <w:rsid w:val="682217B3"/>
    <w:rsid w:val="6C254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5022</Words>
  <Characters>5246</Characters>
  <Lines>0</Lines>
  <Paragraphs>0</Paragraphs>
  <TotalTime>20</TotalTime>
  <ScaleCrop>false</ScaleCrop>
  <LinksUpToDate>false</LinksUpToDate>
  <CharactersWithSpaces>5372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2023-08-01T01:40:00Z</dcterms:created>
  <dc:creator>王智</dc:creator>
  <cp:lastModifiedBy>王智</cp:lastModifiedBy>
  <dcterms:modified xsi:type="dcterms:W3CDTF">2023-08-01T02:26:26Z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2FB8A9D2BBB74CC0B4A9E5128028254B_11</vt:lpwstr>
  </property>
</Properties>
</file>